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方正小标宋简体" w:hAnsi="黑体" w:eastAsia="方正小标宋简体"/>
          <w:sz w:val="44"/>
          <w:szCs w:val="44"/>
        </w:rPr>
        <w:t>2022年度江门市蓬江区新冠肺炎核酸检测采样点VR拍摄服务项目采购需求</w:t>
      </w:r>
    </w:p>
    <w:p>
      <w:pPr>
        <w:pStyle w:val="3"/>
        <w:spacing w:before="240" w:after="240"/>
        <w:rPr>
          <w:color w:val="auto"/>
        </w:rPr>
      </w:pPr>
      <w:r>
        <w:rPr>
          <w:rFonts w:hint="eastAsia"/>
          <w:color w:val="auto"/>
        </w:rPr>
        <w:t>项目名称</w:t>
      </w:r>
    </w:p>
    <w:p>
      <w:pPr>
        <w:ind w:firstLine="480" w:firstLineChars="200"/>
      </w:pPr>
      <w:r>
        <w:rPr>
          <w:rFonts w:hint="eastAsia"/>
        </w:rPr>
        <w:t>2022年度江门市蓬江区新冠肺炎核酸检测采样点VR拍摄服务项目</w:t>
      </w:r>
    </w:p>
    <w:p>
      <w:pPr>
        <w:pStyle w:val="3"/>
        <w:spacing w:before="240" w:after="240"/>
        <w:rPr>
          <w:color w:val="auto"/>
        </w:rPr>
      </w:pPr>
      <w:r>
        <w:rPr>
          <w:rFonts w:hint="eastAsia"/>
          <w:color w:val="auto"/>
        </w:rPr>
        <w:t>服务内容及时间</w:t>
      </w:r>
    </w:p>
    <w:p>
      <w:pPr>
        <w:ind w:firstLine="480" w:firstLineChars="200"/>
        <w:rPr>
          <w:rFonts w:hint="eastAsia" w:ascii="Times New Roman" w:hAnsi="Times New Roman"/>
        </w:rPr>
      </w:pPr>
      <w:r>
        <w:rPr>
          <w:rFonts w:hint="eastAsia"/>
        </w:rPr>
        <w:t>（一）服务内容：</w:t>
      </w:r>
      <w:r>
        <w:rPr>
          <w:rFonts w:hint="eastAsia" w:ascii="Times New Roman" w:hAnsi="Times New Roman"/>
        </w:rPr>
        <w:t>对江门市内蓬江区的白沙</w:t>
      </w:r>
      <w:r>
        <w:rPr>
          <w:rFonts w:hint="eastAsia" w:ascii="Times New Roman" w:hAnsi="Times New Roman"/>
          <w:lang w:eastAsia="zh-CN"/>
        </w:rPr>
        <w:t>、</w:t>
      </w:r>
      <w:r>
        <w:rPr>
          <w:rFonts w:hint="eastAsia" w:ascii="Times New Roman" w:hAnsi="Times New Roman"/>
        </w:rPr>
        <w:t>环市</w:t>
      </w:r>
      <w:r>
        <w:rPr>
          <w:rFonts w:hint="eastAsia" w:ascii="Times New Roman" w:hAnsi="Times New Roman"/>
          <w:lang w:eastAsia="zh-CN"/>
        </w:rPr>
        <w:t>、</w:t>
      </w:r>
      <w:bookmarkStart w:id="0" w:name="_GoBack"/>
      <w:bookmarkEnd w:id="0"/>
      <w:r>
        <w:rPr>
          <w:rFonts w:hint="eastAsia" w:ascii="Times New Roman" w:hAnsi="Times New Roman"/>
        </w:rPr>
        <w:t>潮连等99个指定的核酸采集点进行采集，建设起相对应的VR大场景等内容。</w:t>
      </w:r>
    </w:p>
    <w:p>
      <w:pPr>
        <w:ind w:firstLine="480" w:firstLineChars="200"/>
        <w:rPr>
          <w:rFonts w:hint="eastAsia" w:ascii="Times New Roman" w:hAnsi="Times New Roman"/>
        </w:rPr>
      </w:pPr>
      <w:r>
        <w:rPr>
          <w:rFonts w:hint="eastAsia" w:ascii="Times New Roman" w:hAnsi="Times New Roman"/>
        </w:rPr>
        <w:t>（二）服务时间：从合同签订起至项目验收，验收后免费维保一年。</w:t>
      </w:r>
    </w:p>
    <w:p>
      <w:pPr>
        <w:pStyle w:val="3"/>
        <w:spacing w:before="240" w:after="240"/>
      </w:pPr>
      <w:r>
        <w:rPr>
          <w:rFonts w:hint="eastAsia"/>
        </w:rPr>
        <w:t>供应商资格要求</w:t>
      </w:r>
    </w:p>
    <w:p>
      <w:pPr>
        <w:ind w:firstLine="480" w:firstLineChars="200"/>
      </w:pPr>
      <w:r>
        <w:rPr>
          <w:rFonts w:hint="eastAsia"/>
        </w:rPr>
        <w:t>（一）依法设立，能独立承担民事责任的能力；</w:t>
      </w:r>
    </w:p>
    <w:p>
      <w:pPr>
        <w:ind w:firstLine="480" w:firstLineChars="200"/>
      </w:pPr>
      <w:r>
        <w:rPr>
          <w:rFonts w:hint="eastAsia"/>
        </w:rPr>
        <w:t>（二）具有良好的商业信誉和健全的财务会计制度；</w:t>
      </w:r>
    </w:p>
    <w:p>
      <w:pPr>
        <w:ind w:firstLine="480" w:firstLineChars="200"/>
      </w:pPr>
      <w:r>
        <w:rPr>
          <w:rFonts w:hint="eastAsia"/>
        </w:rPr>
        <w:t>（三）具有提供服务所必需的设备和专业技术能力；</w:t>
      </w:r>
    </w:p>
    <w:p>
      <w:pPr>
        <w:ind w:firstLine="480" w:firstLineChars="200"/>
      </w:pPr>
      <w:r>
        <w:rPr>
          <w:rFonts w:hint="eastAsia"/>
        </w:rPr>
        <w:t>（四）有依法缴纳税收和社会保障资金的良好记录；</w:t>
      </w:r>
    </w:p>
    <w:p>
      <w:pPr>
        <w:ind w:firstLine="480" w:firstLineChars="200"/>
      </w:pPr>
      <w:r>
        <w:rPr>
          <w:rFonts w:hint="eastAsia"/>
        </w:rPr>
        <w:t>（五）参加采购活动前三年内，在经营活动中没有重大违法记录；</w:t>
      </w:r>
    </w:p>
    <w:p>
      <w:pPr>
        <w:ind w:firstLine="480" w:firstLineChars="200"/>
      </w:pPr>
      <w:r>
        <w:rPr>
          <w:rFonts w:hint="eastAsia"/>
        </w:rPr>
        <w:t>（六）法律、行政法规规定的其他条件；</w:t>
      </w:r>
    </w:p>
    <w:p>
      <w:pPr>
        <w:ind w:firstLine="480" w:firstLineChars="200"/>
      </w:pPr>
      <w:r>
        <w:rPr>
          <w:rFonts w:hint="eastAsia"/>
        </w:rPr>
        <w:t>（七）本项目不接受联合体投标。</w:t>
      </w:r>
    </w:p>
    <w:p>
      <w:pPr>
        <w:pStyle w:val="3"/>
        <w:spacing w:before="240" w:after="240"/>
      </w:pPr>
      <w:r>
        <w:rPr>
          <w:rFonts w:hint="eastAsia"/>
        </w:rPr>
        <w:t>工作目标</w:t>
      </w:r>
    </w:p>
    <w:p>
      <w:pPr>
        <w:ind w:firstLine="480" w:firstLineChars="200"/>
      </w:pPr>
      <w:r>
        <w:rPr>
          <w:rFonts w:ascii="Times New Roman" w:hAnsi="Times New Roman"/>
        </w:rPr>
        <w:t>为做好新冠病毒核酸样本采集点感控管理，杜绝疾病传播，根据相关要求</w:t>
      </w:r>
      <w:r>
        <w:rPr>
          <w:rFonts w:hint="eastAsia" w:ascii="Times New Roman" w:hAnsi="Times New Roman"/>
        </w:rPr>
        <w:t>，对江门市蓬江区白沙</w:t>
      </w:r>
      <w:r>
        <w:rPr>
          <w:rFonts w:hint="eastAsia" w:ascii="Times New Roman" w:hAnsi="Times New Roman"/>
          <w:lang w:eastAsia="zh-CN"/>
        </w:rPr>
        <w:t>、</w:t>
      </w:r>
      <w:r>
        <w:rPr>
          <w:rFonts w:hint="eastAsia" w:ascii="Times New Roman" w:hAnsi="Times New Roman"/>
        </w:rPr>
        <w:t>环市</w:t>
      </w:r>
      <w:r>
        <w:rPr>
          <w:rFonts w:hint="eastAsia" w:ascii="Times New Roman" w:hAnsi="Times New Roman"/>
          <w:lang w:eastAsia="zh-CN"/>
        </w:rPr>
        <w:t>、</w:t>
      </w:r>
      <w:r>
        <w:rPr>
          <w:rFonts w:hint="eastAsia" w:ascii="Times New Roman" w:hAnsi="Times New Roman"/>
        </w:rPr>
        <w:t>潮连等99个核酸采集点进行实景三维空间数据采集，建设起精准还原的VR大场景，实现江门市蓬江区全方面信息化的疫情防控一张图</w:t>
      </w:r>
      <w:r>
        <w:rPr>
          <w:rFonts w:ascii="Times New Roman" w:hAnsi="Times New Roman"/>
        </w:rPr>
        <w:t>。</w:t>
      </w:r>
    </w:p>
    <w:p>
      <w:pPr>
        <w:pStyle w:val="3"/>
        <w:spacing w:before="240" w:after="240"/>
      </w:pPr>
      <w:r>
        <w:rPr>
          <w:rFonts w:hint="eastAsia"/>
        </w:rPr>
        <w:t>工作内容</w:t>
      </w:r>
    </w:p>
    <w:p>
      <w:pPr>
        <w:ind w:firstLine="480" w:firstLineChars="200"/>
      </w:pPr>
      <w:r>
        <w:rPr>
          <w:rFonts w:hint="eastAsia"/>
        </w:rPr>
        <w:t>2022年度江门市蓬江区新冠肺炎核酸检测采样点VR拍摄服务项目主要分为以下部分内容：对于蓬江区指定的核酸采集地点实景三维空间采集服务，进行三维建模，构建起VR大场景展示，以及在必要时进行数据对接和上传。</w:t>
      </w:r>
    </w:p>
    <w:p>
      <w:pPr>
        <w:pStyle w:val="4"/>
        <w:spacing w:before="120" w:after="120"/>
      </w:pPr>
      <w:r>
        <w:rPr>
          <w:rFonts w:hint="eastAsia"/>
        </w:rPr>
        <w:t>实景三维空间采集建模服务</w:t>
      </w:r>
    </w:p>
    <w:p>
      <w:pPr>
        <w:ind w:firstLine="480" w:firstLineChars="200"/>
      </w:pPr>
      <w:r>
        <w:rPr>
          <w:rFonts w:hint="eastAsia"/>
        </w:rPr>
        <w:t>提供在江门市蓬江区的</w:t>
      </w:r>
      <w:r>
        <w:t>白沙</w:t>
      </w:r>
      <w:r>
        <w:rPr>
          <w:rFonts w:hint="eastAsia"/>
        </w:rPr>
        <w:t>，</w:t>
      </w:r>
      <w:r>
        <w:t>环市</w:t>
      </w:r>
      <w:r>
        <w:rPr>
          <w:rFonts w:hint="eastAsia"/>
        </w:rPr>
        <w:t>，</w:t>
      </w:r>
      <w:r>
        <w:t>潮连</w:t>
      </w:r>
      <w:r>
        <w:rPr>
          <w:rFonts w:hint="eastAsia"/>
        </w:rPr>
        <w:t>，</w:t>
      </w:r>
      <w:r>
        <w:t>棠下</w:t>
      </w:r>
      <w:r>
        <w:rPr>
          <w:rFonts w:hint="eastAsia"/>
        </w:rPr>
        <w:t>，</w:t>
      </w:r>
      <w:r>
        <w:t>荷塘</w:t>
      </w:r>
      <w:r>
        <w:rPr>
          <w:rFonts w:hint="eastAsia"/>
        </w:rPr>
        <w:t>，</w:t>
      </w:r>
      <w:r>
        <w:t>杜阮</w:t>
      </w:r>
      <w:r>
        <w:rPr>
          <w:rFonts w:hint="eastAsia"/>
        </w:rPr>
        <w:t>六个社区内的99个核酸采集点进行场景的实景三维空间数据采集服务，实施必要的实地三维数据拍摄并建模。</w:t>
      </w:r>
    </w:p>
    <w:p>
      <w:pPr>
        <w:pStyle w:val="4"/>
        <w:spacing w:before="120" w:after="120"/>
      </w:pPr>
      <w:r>
        <w:rPr>
          <w:rFonts w:hint="eastAsia"/>
        </w:rPr>
        <w:t>图像数据线上展示</w:t>
      </w:r>
    </w:p>
    <w:p>
      <w:pPr>
        <w:ind w:firstLine="480" w:firstLineChars="200"/>
      </w:pPr>
      <w:r>
        <w:rPr>
          <w:rFonts w:hint="eastAsia"/>
        </w:rPr>
        <w:t>为通过数字化手段助力政府精准化抗击疫情，提供核酸采集点的最终成像，并支持投放在线上，面向后台管理人员，相关业务部门，主要前端用户等进行展示，包括PC端，移动端等不同终端。</w:t>
      </w:r>
    </w:p>
    <w:p>
      <w:pPr>
        <w:ind w:firstLine="480" w:firstLineChars="200"/>
      </w:pPr>
      <w:r>
        <w:rPr>
          <w:rFonts w:hint="eastAsia"/>
        </w:rPr>
        <w:t>并提供基础后台编辑功能，支持对三维图像中的点位进行名称标注。</w:t>
      </w:r>
    </w:p>
    <w:p>
      <w:pPr>
        <w:pStyle w:val="4"/>
        <w:spacing w:before="120" w:after="120"/>
      </w:pPr>
      <w:r>
        <w:rPr>
          <w:rFonts w:hint="eastAsia"/>
        </w:rPr>
        <w:t>其他工作内容</w:t>
      </w:r>
    </w:p>
    <w:p>
      <w:pPr>
        <w:ind w:firstLine="480" w:firstLineChars="200"/>
        <w:rPr>
          <w:color w:val="FF0000"/>
        </w:rPr>
      </w:pPr>
      <w:r>
        <w:rPr>
          <w:rFonts w:hint="eastAsia"/>
        </w:rPr>
        <w:t>此外，支持对数据成果提供必要的的上传对接和打包传输，以利于后续数据的衍生应用和业务拓展。后续如有需要，需与区大数据平台做好数据对接工作。</w:t>
      </w:r>
    </w:p>
    <w:p>
      <w:pPr>
        <w:pStyle w:val="3"/>
        <w:spacing w:before="240" w:after="240"/>
      </w:pPr>
      <w:r>
        <w:rPr>
          <w:rFonts w:hint="eastAsia"/>
        </w:rPr>
        <w:t>服务要求</w:t>
      </w:r>
    </w:p>
    <w:p>
      <w:pPr>
        <w:pStyle w:val="4"/>
        <w:spacing w:before="120" w:after="120"/>
        <w:rPr>
          <w:color w:val="auto"/>
        </w:rPr>
      </w:pPr>
      <w:r>
        <w:rPr>
          <w:rFonts w:hint="eastAsia"/>
          <w:color w:val="auto"/>
        </w:rPr>
        <w:t>采集设备要求</w:t>
      </w:r>
    </w:p>
    <w:p>
      <w:pPr>
        <w:ind w:firstLine="480" w:firstLineChars="200"/>
      </w:pPr>
      <w:r>
        <w:rPr>
          <w:rFonts w:hint="eastAsia"/>
        </w:rPr>
        <w:t>基于国家疫情动态数据的保密和保护原则，防止疫情情况的关键信息外泄，要求采取国产自研的实景三维空间数据采集设备对项目场景进行采集，并确保设备技术的自主独立性。</w:t>
      </w:r>
    </w:p>
    <w:p>
      <w:pPr>
        <w:pStyle w:val="4"/>
        <w:spacing w:before="120" w:after="120"/>
        <w:rPr>
          <w:color w:val="auto"/>
        </w:rPr>
      </w:pPr>
      <w:r>
        <w:rPr>
          <w:rFonts w:hint="eastAsia"/>
          <w:color w:val="auto"/>
        </w:rPr>
        <w:t>三维场景采集建模参数要求</w:t>
      </w:r>
    </w:p>
    <w:p>
      <w:pPr>
        <w:ind w:firstLine="480" w:firstLineChars="200"/>
      </w:pPr>
      <w:r>
        <w:rPr>
          <w:rFonts w:hint="eastAsia"/>
        </w:rPr>
        <w:t>对于项目指定范围内核酸筛查采样点的三维场景进行采集，三维场景数据的采集和建模参数标准要求如下：</w:t>
      </w:r>
    </w:p>
    <w:p>
      <w:pPr>
        <w:pStyle w:val="2"/>
      </w:pPr>
    </w:p>
    <w:p>
      <w:pPr>
        <w:pStyle w:val="13"/>
      </w:pPr>
      <w:r>
        <w:t xml:space="preserve">表 </w:t>
      </w:r>
      <w:r>
        <w:fldChar w:fldCharType="begin"/>
      </w:r>
      <w:r>
        <w:instrText xml:space="preserve"> SEQ 表 \* ARABIC </w:instrText>
      </w:r>
      <w:r>
        <w:fldChar w:fldCharType="separate"/>
      </w:r>
      <w:r>
        <w:t>1</w:t>
      </w:r>
      <w:r>
        <w:fldChar w:fldCharType="end"/>
      </w:r>
      <w:r>
        <w:rPr>
          <w:rFonts w:hint="eastAsia"/>
        </w:rPr>
        <w:t xml:space="preserve"> 三维场景采集和建模标准</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20"/>
        <w:gridCol w:w="1614"/>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shd w:val="clear" w:color="auto" w:fill="D7D7D7" w:themeFill="background1" w:themeFillShade="D8"/>
            <w:vAlign w:val="center"/>
          </w:tcPr>
          <w:p>
            <w:pPr>
              <w:jc w:val="center"/>
              <w:rPr>
                <w:rFonts w:cs="宋体"/>
                <w:b/>
                <w:bCs/>
                <w:sz w:val="21"/>
              </w:rPr>
            </w:pPr>
            <w:r>
              <w:rPr>
                <w:rFonts w:hint="eastAsia" w:cs="宋体"/>
                <w:b/>
                <w:bCs/>
                <w:sz w:val="21"/>
              </w:rPr>
              <w:t>序号</w:t>
            </w:r>
          </w:p>
        </w:tc>
        <w:tc>
          <w:tcPr>
            <w:tcW w:w="715" w:type="pct"/>
            <w:shd w:val="clear" w:color="auto" w:fill="D7D7D7" w:themeFill="background1" w:themeFillShade="D8"/>
            <w:vAlign w:val="center"/>
          </w:tcPr>
          <w:p>
            <w:pPr>
              <w:jc w:val="center"/>
              <w:rPr>
                <w:rFonts w:cs="宋体"/>
                <w:b/>
                <w:bCs/>
                <w:sz w:val="21"/>
              </w:rPr>
            </w:pPr>
            <w:r>
              <w:rPr>
                <w:rFonts w:hint="eastAsia" w:cs="宋体"/>
                <w:b/>
                <w:bCs/>
                <w:sz w:val="21"/>
              </w:rPr>
              <w:t>采集方向</w:t>
            </w:r>
          </w:p>
        </w:tc>
        <w:tc>
          <w:tcPr>
            <w:tcW w:w="946" w:type="pct"/>
            <w:shd w:val="clear" w:color="auto" w:fill="D7D7D7" w:themeFill="background1" w:themeFillShade="D8"/>
            <w:vAlign w:val="center"/>
          </w:tcPr>
          <w:p>
            <w:pPr>
              <w:jc w:val="center"/>
              <w:rPr>
                <w:rFonts w:cs="宋体"/>
                <w:b/>
                <w:bCs/>
                <w:sz w:val="21"/>
              </w:rPr>
            </w:pPr>
            <w:r>
              <w:rPr>
                <w:rFonts w:hint="eastAsia" w:cs="宋体"/>
                <w:b/>
                <w:bCs/>
                <w:sz w:val="21"/>
              </w:rPr>
              <w:t>分项</w:t>
            </w:r>
          </w:p>
        </w:tc>
        <w:tc>
          <w:tcPr>
            <w:tcW w:w="2910" w:type="pct"/>
            <w:shd w:val="clear" w:color="auto" w:fill="D7D7D7" w:themeFill="background1" w:themeFillShade="D8"/>
            <w:vAlign w:val="center"/>
          </w:tcPr>
          <w:p>
            <w:pPr>
              <w:jc w:val="center"/>
              <w:rPr>
                <w:rFonts w:cs="宋体"/>
                <w:b/>
                <w:bCs/>
                <w:sz w:val="21"/>
              </w:rPr>
            </w:pPr>
            <w:r>
              <w:rPr>
                <w:rFonts w:hint="eastAsia" w:cs="宋体"/>
                <w:b/>
                <w:bCs/>
                <w:sz w:val="21"/>
              </w:rPr>
              <w:t>参数标准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1</w:t>
            </w:r>
          </w:p>
        </w:tc>
        <w:tc>
          <w:tcPr>
            <w:tcW w:w="715" w:type="pct"/>
            <w:vMerge w:val="restart"/>
            <w:vAlign w:val="center"/>
          </w:tcPr>
          <w:p>
            <w:pPr>
              <w:jc w:val="center"/>
              <w:rPr>
                <w:rFonts w:cs="宋体"/>
                <w:sz w:val="21"/>
              </w:rPr>
            </w:pPr>
            <w:r>
              <w:rPr>
                <w:rFonts w:hint="eastAsia" w:cs="宋体"/>
                <w:sz w:val="21"/>
              </w:rPr>
              <w:t>三维空间场景数据采集标准</w:t>
            </w:r>
          </w:p>
        </w:tc>
        <w:tc>
          <w:tcPr>
            <w:tcW w:w="946" w:type="pct"/>
            <w:vAlign w:val="center"/>
          </w:tcPr>
          <w:p>
            <w:pPr>
              <w:jc w:val="center"/>
              <w:rPr>
                <w:rFonts w:cs="宋体"/>
                <w:sz w:val="21"/>
              </w:rPr>
            </w:pPr>
            <w:r>
              <w:rPr>
                <w:rFonts w:hint="eastAsia" w:cs="宋体"/>
                <w:sz w:val="21"/>
              </w:rPr>
              <w:t>整体要求</w:t>
            </w:r>
          </w:p>
        </w:tc>
        <w:tc>
          <w:tcPr>
            <w:tcW w:w="2910" w:type="pct"/>
            <w:vAlign w:val="center"/>
          </w:tcPr>
          <w:p>
            <w:pPr>
              <w:rPr>
                <w:rFonts w:cs="宋体"/>
                <w:sz w:val="21"/>
              </w:rPr>
            </w:pPr>
            <w:r>
              <w:rPr>
                <w:rFonts w:hint="eastAsia" w:cs="宋体"/>
                <w:sz w:val="21"/>
              </w:rPr>
              <w:t>能够自动生成数字3D空间，实时计算距离尺寸，数据支持3D场景的实景漫游效果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2</w:t>
            </w:r>
          </w:p>
        </w:tc>
        <w:tc>
          <w:tcPr>
            <w:tcW w:w="715" w:type="pct"/>
            <w:vMerge w:val="continue"/>
            <w:vAlign w:val="center"/>
          </w:tcPr>
          <w:p>
            <w:pPr>
              <w:rPr>
                <w:rFonts w:cs="宋体"/>
                <w:sz w:val="21"/>
              </w:rPr>
            </w:pPr>
          </w:p>
        </w:tc>
        <w:tc>
          <w:tcPr>
            <w:tcW w:w="946" w:type="pct"/>
            <w:vAlign w:val="center"/>
          </w:tcPr>
          <w:p>
            <w:pPr>
              <w:jc w:val="center"/>
              <w:rPr>
                <w:rFonts w:cs="宋体"/>
                <w:sz w:val="21"/>
              </w:rPr>
            </w:pPr>
            <w:r>
              <w:rPr>
                <w:rFonts w:hint="eastAsia" w:cs="宋体"/>
                <w:sz w:val="21"/>
              </w:rPr>
              <w:t>图像分辨率</w:t>
            </w:r>
          </w:p>
        </w:tc>
        <w:tc>
          <w:tcPr>
            <w:tcW w:w="2910" w:type="pct"/>
            <w:vAlign w:val="center"/>
          </w:tcPr>
          <w:p>
            <w:pPr>
              <w:rPr>
                <w:rFonts w:cs="宋体"/>
                <w:sz w:val="21"/>
              </w:rPr>
            </w:pPr>
            <w:r>
              <w:rPr>
                <w:rFonts w:hint="eastAsia" w:cs="宋体"/>
                <w:sz w:val="21"/>
              </w:rPr>
              <w:t>分辨率：5472 x3648 ；16K （16384 x8192） （全景图）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3</w:t>
            </w:r>
          </w:p>
        </w:tc>
        <w:tc>
          <w:tcPr>
            <w:tcW w:w="715" w:type="pct"/>
            <w:vMerge w:val="restart"/>
            <w:vAlign w:val="center"/>
          </w:tcPr>
          <w:p>
            <w:pPr>
              <w:jc w:val="center"/>
              <w:rPr>
                <w:rFonts w:cs="宋体"/>
                <w:sz w:val="21"/>
              </w:rPr>
            </w:pPr>
            <w:r>
              <w:rPr>
                <w:rFonts w:hint="eastAsia" w:cs="宋体"/>
                <w:sz w:val="21"/>
              </w:rPr>
              <w:t>三维空间场景色彩与纹理采集标准</w:t>
            </w:r>
          </w:p>
        </w:tc>
        <w:tc>
          <w:tcPr>
            <w:tcW w:w="946" w:type="pct"/>
            <w:vAlign w:val="center"/>
          </w:tcPr>
          <w:p>
            <w:pPr>
              <w:jc w:val="center"/>
              <w:rPr>
                <w:rFonts w:cs="宋体"/>
                <w:sz w:val="21"/>
              </w:rPr>
            </w:pPr>
            <w:r>
              <w:rPr>
                <w:rFonts w:hint="eastAsia" w:cs="宋体"/>
                <w:sz w:val="21"/>
              </w:rPr>
              <w:t>纹理分辨率</w:t>
            </w:r>
          </w:p>
        </w:tc>
        <w:tc>
          <w:tcPr>
            <w:tcW w:w="2910" w:type="pct"/>
            <w:vAlign w:val="center"/>
          </w:tcPr>
          <w:p>
            <w:pPr>
              <w:rPr>
                <w:rFonts w:cs="宋体"/>
                <w:sz w:val="21"/>
              </w:rPr>
            </w:pPr>
            <w:r>
              <w:rPr>
                <w:rFonts w:hint="eastAsia" w:cs="宋体"/>
                <w:sz w:val="21"/>
              </w:rPr>
              <w:t>≥4096</w:t>
            </w:r>
            <w:r>
              <w:rPr>
                <w:rFonts w:hint="eastAsia" w:cs="宋体"/>
                <w:sz w:val="21"/>
                <w:lang w:bidi="ar"/>
              </w:rPr>
              <w:t>×</w:t>
            </w:r>
            <w:r>
              <w:rPr>
                <w:rFonts w:hint="eastAsia" w:cs="宋体"/>
                <w:sz w:val="21"/>
              </w:rPr>
              <w:t>4096及以上（单张图片）</w:t>
            </w:r>
          </w:p>
          <w:p>
            <w:pPr>
              <w:rPr>
                <w:rFonts w:cs="宋体"/>
                <w:sz w:val="21"/>
              </w:rPr>
            </w:pPr>
            <w:r>
              <w:rPr>
                <w:rFonts w:hint="eastAsia" w:cs="宋体"/>
                <w:sz w:val="21"/>
              </w:rPr>
              <w:t>≥8192</w:t>
            </w:r>
            <w:r>
              <w:rPr>
                <w:rFonts w:hint="eastAsia" w:cs="宋体"/>
                <w:sz w:val="21"/>
                <w:lang w:bidi="ar"/>
              </w:rPr>
              <w:t>×</w:t>
            </w:r>
            <w:r>
              <w:rPr>
                <w:rFonts w:hint="eastAsia" w:cs="宋体"/>
                <w:sz w:val="21"/>
              </w:rPr>
              <w:t>4096及以上（拼合后全景图片）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4</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纹理拼接</w:t>
            </w:r>
          </w:p>
        </w:tc>
        <w:tc>
          <w:tcPr>
            <w:tcW w:w="2910" w:type="pct"/>
            <w:vAlign w:val="center"/>
          </w:tcPr>
          <w:p>
            <w:pPr>
              <w:rPr>
                <w:rFonts w:cs="宋体"/>
                <w:sz w:val="21"/>
              </w:rPr>
            </w:pPr>
            <w:r>
              <w:rPr>
                <w:rFonts w:hint="eastAsia" w:cs="宋体"/>
                <w:sz w:val="21"/>
              </w:rPr>
              <w:t>无明显接缝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5</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拼合后的形态误差</w:t>
            </w:r>
          </w:p>
        </w:tc>
        <w:tc>
          <w:tcPr>
            <w:tcW w:w="2910" w:type="pct"/>
            <w:vAlign w:val="center"/>
          </w:tcPr>
          <w:p>
            <w:pPr>
              <w:rPr>
                <w:rFonts w:cs="宋体"/>
                <w:sz w:val="21"/>
              </w:rPr>
            </w:pPr>
            <w:r>
              <w:rPr>
                <w:rFonts w:hint="eastAsia" w:cs="宋体"/>
                <w:sz w:val="21"/>
              </w:rPr>
              <w:t>≤0.1mm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6</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纹理贴图尺寸误差</w:t>
            </w:r>
          </w:p>
        </w:tc>
        <w:tc>
          <w:tcPr>
            <w:tcW w:w="2910" w:type="pct"/>
            <w:vAlign w:val="center"/>
          </w:tcPr>
          <w:p>
            <w:pPr>
              <w:rPr>
                <w:rFonts w:cs="宋体"/>
                <w:sz w:val="21"/>
              </w:rPr>
            </w:pPr>
            <w:r>
              <w:rPr>
                <w:rFonts w:hint="eastAsia" w:cs="宋体"/>
                <w:sz w:val="21"/>
              </w:rPr>
              <w:t>≤0.05mm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7</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色彩还原</w:t>
            </w:r>
          </w:p>
        </w:tc>
        <w:tc>
          <w:tcPr>
            <w:tcW w:w="2910" w:type="pct"/>
            <w:vAlign w:val="center"/>
          </w:tcPr>
          <w:p>
            <w:pPr>
              <w:rPr>
                <w:rFonts w:cs="宋体"/>
                <w:sz w:val="21"/>
              </w:rPr>
            </w:pPr>
            <w:r>
              <w:rPr>
                <w:rFonts w:hint="eastAsia" w:cs="宋体"/>
                <w:sz w:val="21"/>
              </w:rPr>
              <w:t>还原自然光照条件下物体表面色彩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8</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光线</w:t>
            </w:r>
          </w:p>
        </w:tc>
        <w:tc>
          <w:tcPr>
            <w:tcW w:w="2910" w:type="pct"/>
            <w:vAlign w:val="center"/>
          </w:tcPr>
          <w:p>
            <w:pPr>
              <w:rPr>
                <w:rFonts w:cs="宋体"/>
                <w:sz w:val="21"/>
              </w:rPr>
            </w:pPr>
            <w:r>
              <w:rPr>
                <w:rFonts w:hint="eastAsia" w:cs="宋体"/>
                <w:sz w:val="21"/>
              </w:rPr>
              <w:t>在平行光环境下的正交拍摄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9</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噪音点控制</w:t>
            </w:r>
          </w:p>
        </w:tc>
        <w:tc>
          <w:tcPr>
            <w:tcW w:w="2910" w:type="pct"/>
            <w:vAlign w:val="center"/>
          </w:tcPr>
          <w:p>
            <w:pPr>
              <w:rPr>
                <w:rFonts w:cs="宋体"/>
                <w:sz w:val="21"/>
              </w:rPr>
            </w:pPr>
            <w:r>
              <w:rPr>
                <w:rFonts w:hint="eastAsia" w:cs="宋体"/>
                <w:sz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10</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标准色温</w:t>
            </w:r>
          </w:p>
        </w:tc>
        <w:tc>
          <w:tcPr>
            <w:tcW w:w="2910" w:type="pct"/>
            <w:vAlign w:val="center"/>
          </w:tcPr>
          <w:p>
            <w:pPr>
              <w:rPr>
                <w:rFonts w:cs="宋体"/>
                <w:sz w:val="21"/>
              </w:rPr>
            </w:pPr>
            <w:r>
              <w:rPr>
                <w:rFonts w:hint="eastAsia" w:cs="宋体"/>
                <w:sz w:val="21"/>
              </w:rPr>
              <w:t>5400K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pct"/>
            <w:vAlign w:val="center"/>
          </w:tcPr>
          <w:p>
            <w:pPr>
              <w:jc w:val="center"/>
              <w:rPr>
                <w:rFonts w:cs="宋体"/>
                <w:sz w:val="21"/>
              </w:rPr>
            </w:pPr>
            <w:r>
              <w:rPr>
                <w:rFonts w:hint="eastAsia" w:cs="宋体"/>
                <w:sz w:val="21"/>
              </w:rPr>
              <w:t>11</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模型精度/采集精度误差</w:t>
            </w:r>
          </w:p>
        </w:tc>
        <w:tc>
          <w:tcPr>
            <w:tcW w:w="2910" w:type="pct"/>
            <w:vAlign w:val="center"/>
          </w:tcPr>
          <w:p>
            <w:pPr>
              <w:rPr>
                <w:rFonts w:cs="宋体"/>
                <w:sz w:val="21"/>
              </w:rPr>
            </w:pPr>
            <w:r>
              <w:rPr>
                <w:rFonts w:hint="eastAsia" w:cs="宋体"/>
                <w:sz w:val="21"/>
              </w:rPr>
              <w:t>≦5cm</w:t>
            </w:r>
          </w:p>
        </w:tc>
      </w:tr>
    </w:tbl>
    <w:p/>
    <w:p>
      <w:pPr>
        <w:pStyle w:val="4"/>
        <w:spacing w:before="120" w:after="120"/>
        <w:rPr>
          <w:color w:val="auto"/>
        </w:rPr>
      </w:pPr>
      <w:r>
        <w:rPr>
          <w:rFonts w:hint="eastAsia"/>
          <w:color w:val="auto"/>
        </w:rPr>
        <w:t>图像数据展示要求</w:t>
      </w:r>
    </w:p>
    <w:p>
      <w:pPr>
        <w:pStyle w:val="13"/>
      </w:pPr>
      <w:r>
        <w:t xml:space="preserve">表 </w:t>
      </w:r>
      <w:r>
        <w:fldChar w:fldCharType="begin"/>
      </w:r>
      <w:r>
        <w:instrText xml:space="preserve"> SEQ 表 \* ARABIC </w:instrText>
      </w:r>
      <w:r>
        <w:fldChar w:fldCharType="separate"/>
      </w:r>
      <w:r>
        <w:t>2</w:t>
      </w:r>
      <w:r>
        <w:fldChar w:fldCharType="end"/>
      </w:r>
      <w:r>
        <w:rPr>
          <w:rFonts w:hint="eastAsia"/>
        </w:rPr>
        <w:t xml:space="preserve"> 图像数据展示标准</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20"/>
        <w:gridCol w:w="1614"/>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7" w:type="pct"/>
            <w:vAlign w:val="center"/>
          </w:tcPr>
          <w:p>
            <w:pPr>
              <w:jc w:val="center"/>
              <w:rPr>
                <w:rFonts w:cs="宋体"/>
                <w:sz w:val="21"/>
              </w:rPr>
            </w:pPr>
            <w:r>
              <w:rPr>
                <w:rFonts w:hint="eastAsia" w:cs="宋体"/>
                <w:sz w:val="21"/>
              </w:rPr>
              <w:t>12</w:t>
            </w:r>
          </w:p>
        </w:tc>
        <w:tc>
          <w:tcPr>
            <w:tcW w:w="715" w:type="pct"/>
            <w:vMerge w:val="restart"/>
            <w:vAlign w:val="center"/>
          </w:tcPr>
          <w:p>
            <w:pPr>
              <w:jc w:val="center"/>
              <w:rPr>
                <w:rFonts w:cs="宋体"/>
                <w:sz w:val="21"/>
              </w:rPr>
            </w:pPr>
            <w:r>
              <w:rPr>
                <w:rFonts w:hint="eastAsia" w:cs="宋体"/>
                <w:sz w:val="21"/>
              </w:rPr>
              <w:t>数据成果展示</w:t>
            </w:r>
          </w:p>
        </w:tc>
        <w:tc>
          <w:tcPr>
            <w:tcW w:w="946" w:type="pct"/>
            <w:vAlign w:val="center"/>
          </w:tcPr>
          <w:p>
            <w:pPr>
              <w:jc w:val="center"/>
              <w:rPr>
                <w:rFonts w:cs="宋体"/>
                <w:sz w:val="21"/>
              </w:rPr>
            </w:pPr>
            <w:r>
              <w:rPr>
                <w:rFonts w:hint="eastAsia" w:cs="宋体"/>
                <w:sz w:val="21"/>
              </w:rPr>
              <w:t>数据大小</w:t>
            </w:r>
          </w:p>
        </w:tc>
        <w:tc>
          <w:tcPr>
            <w:tcW w:w="2910" w:type="pct"/>
            <w:vAlign w:val="center"/>
          </w:tcPr>
          <w:p>
            <w:pPr>
              <w:rPr>
                <w:rFonts w:cs="宋体"/>
                <w:sz w:val="21"/>
              </w:rPr>
            </w:pPr>
            <w:r>
              <w:rPr>
                <w:rFonts w:hint="eastAsia" w:cs="宋体"/>
                <w:sz w:val="21"/>
              </w:rPr>
              <w:t>迷你模型（100%场景真实模型）数据≦5MB，在保存场景的重要细节的同时可压缩数据，数据可用于在互联网上的展示。数据采用流式媒体的技术加载，保证体验流畅。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7" w:type="pct"/>
            <w:vAlign w:val="center"/>
          </w:tcPr>
          <w:p>
            <w:pPr>
              <w:jc w:val="center"/>
              <w:rPr>
                <w:rFonts w:cs="宋体"/>
                <w:sz w:val="21"/>
              </w:rPr>
            </w:pPr>
            <w:r>
              <w:rPr>
                <w:rFonts w:hint="eastAsia" w:cs="宋体"/>
                <w:sz w:val="21"/>
              </w:rPr>
              <w:t>13</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数据存储</w:t>
            </w:r>
          </w:p>
        </w:tc>
        <w:tc>
          <w:tcPr>
            <w:tcW w:w="2910" w:type="pct"/>
            <w:vAlign w:val="center"/>
          </w:tcPr>
          <w:p>
            <w:pPr>
              <w:rPr>
                <w:rFonts w:cs="宋体"/>
                <w:sz w:val="21"/>
              </w:rPr>
            </w:pPr>
            <w:r>
              <w:rPr>
                <w:rFonts w:hint="eastAsia" w:cs="宋体"/>
                <w:sz w:val="21"/>
              </w:rPr>
              <w:t>所有生成的场景数据均可上传至云端进行永久储存。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7" w:type="pct"/>
            <w:vAlign w:val="center"/>
          </w:tcPr>
          <w:p>
            <w:pPr>
              <w:jc w:val="center"/>
              <w:rPr>
                <w:rFonts w:cs="宋体"/>
                <w:sz w:val="21"/>
              </w:rPr>
            </w:pPr>
            <w:r>
              <w:rPr>
                <w:rFonts w:hint="eastAsia" w:cs="宋体"/>
                <w:sz w:val="21"/>
              </w:rPr>
              <w:t>14</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数据加密</w:t>
            </w:r>
          </w:p>
        </w:tc>
        <w:tc>
          <w:tcPr>
            <w:tcW w:w="2910" w:type="pct"/>
            <w:vAlign w:val="center"/>
          </w:tcPr>
          <w:p>
            <w:pPr>
              <w:rPr>
                <w:rFonts w:cs="宋体"/>
                <w:sz w:val="21"/>
              </w:rPr>
            </w:pPr>
            <w:r>
              <w:rPr>
                <w:rFonts w:hint="eastAsia" w:cs="宋体"/>
                <w:sz w:val="21"/>
              </w:rPr>
              <w:t>在保存场景的重要细节的同时压缩数据，数据用于在互联网上的展示。数据采用流式媒体的技术加载，不影响观看流畅程度。用于保护三维数据，对数据加密，普通用户只能在浏览器端观看，不能解析数据。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7" w:type="pct"/>
            <w:vAlign w:val="center"/>
          </w:tcPr>
          <w:p>
            <w:pPr>
              <w:jc w:val="center"/>
              <w:rPr>
                <w:rFonts w:cs="宋体"/>
                <w:sz w:val="21"/>
              </w:rPr>
            </w:pPr>
            <w:r>
              <w:rPr>
                <w:rFonts w:hint="eastAsia" w:cs="宋体"/>
                <w:sz w:val="21"/>
              </w:rPr>
              <w:t>15</w:t>
            </w:r>
          </w:p>
        </w:tc>
        <w:tc>
          <w:tcPr>
            <w:tcW w:w="715" w:type="pct"/>
            <w:vMerge w:val="continue"/>
            <w:vAlign w:val="center"/>
          </w:tcPr>
          <w:p>
            <w:pPr>
              <w:jc w:val="center"/>
              <w:rPr>
                <w:rFonts w:cs="宋体"/>
                <w:sz w:val="21"/>
              </w:rPr>
            </w:pPr>
          </w:p>
        </w:tc>
        <w:tc>
          <w:tcPr>
            <w:tcW w:w="946" w:type="pct"/>
            <w:vAlign w:val="center"/>
          </w:tcPr>
          <w:p>
            <w:pPr>
              <w:jc w:val="center"/>
              <w:rPr>
                <w:rFonts w:cs="宋体"/>
                <w:sz w:val="21"/>
              </w:rPr>
            </w:pPr>
            <w:r>
              <w:rPr>
                <w:rFonts w:hint="eastAsia" w:cs="宋体"/>
                <w:sz w:val="21"/>
              </w:rPr>
              <w:t>数据格式</w:t>
            </w:r>
          </w:p>
        </w:tc>
        <w:tc>
          <w:tcPr>
            <w:tcW w:w="2910" w:type="pct"/>
            <w:vAlign w:val="center"/>
          </w:tcPr>
          <w:p>
            <w:pPr>
              <w:rPr>
                <w:rFonts w:cs="宋体"/>
                <w:sz w:val="21"/>
              </w:rPr>
            </w:pPr>
            <w:r>
              <w:rPr>
                <w:rFonts w:hint="eastAsia" w:cs="宋体"/>
                <w:sz w:val="21"/>
              </w:rPr>
              <w:t>100%场景真实模型支持obj，FBX通用格式；</w:t>
            </w:r>
          </w:p>
        </w:tc>
      </w:tr>
    </w:tbl>
    <w:p>
      <w:pPr>
        <w:pStyle w:val="2"/>
        <w:rPr>
          <w:b/>
          <w:bCs/>
        </w:rPr>
      </w:pPr>
    </w:p>
    <w:p>
      <w:pPr>
        <w:pStyle w:val="4"/>
        <w:spacing w:before="120" w:after="120"/>
        <w:rPr>
          <w:color w:val="auto"/>
        </w:rPr>
      </w:pPr>
      <w:r>
        <w:rPr>
          <w:rFonts w:hint="eastAsia"/>
          <w:color w:val="auto"/>
        </w:rPr>
        <w:t>后台编辑功能要求</w:t>
      </w:r>
    </w:p>
    <w:p>
      <w:pPr>
        <w:ind w:firstLine="480" w:firstLineChars="200"/>
      </w:pPr>
      <w:r>
        <w:rPr>
          <w:rFonts w:hint="eastAsia"/>
        </w:rPr>
        <w:t>要求在数据图像采集后，提供初步的后台编辑功能，支持对三维图像成果里的位置进行名称标注，以显示该场景的位置和环境分布。</w:t>
      </w:r>
    </w:p>
    <w:p>
      <w:pPr>
        <w:pStyle w:val="3"/>
        <w:spacing w:before="240" w:after="240"/>
        <w:rPr>
          <w:color w:val="auto"/>
        </w:rPr>
      </w:pPr>
      <w:r>
        <w:rPr>
          <w:rFonts w:hint="eastAsia"/>
          <w:color w:val="auto"/>
        </w:rPr>
        <w:t>项目工作范围</w:t>
      </w:r>
    </w:p>
    <w:p>
      <w:pPr>
        <w:ind w:firstLine="480" w:firstLineChars="200"/>
      </w:pPr>
      <w:r>
        <w:rPr>
          <w:rFonts w:hint="eastAsia"/>
        </w:rPr>
        <w:t>在江门市蓬江区的</w:t>
      </w:r>
      <w:r>
        <w:t>白沙</w:t>
      </w:r>
      <w:r>
        <w:rPr>
          <w:rFonts w:hint="eastAsia"/>
        </w:rPr>
        <w:t>，</w:t>
      </w:r>
      <w:r>
        <w:t>环市</w:t>
      </w:r>
      <w:r>
        <w:rPr>
          <w:rFonts w:hint="eastAsia"/>
        </w:rPr>
        <w:t>，</w:t>
      </w:r>
      <w:r>
        <w:t>潮连</w:t>
      </w:r>
      <w:r>
        <w:rPr>
          <w:rFonts w:hint="eastAsia"/>
        </w:rPr>
        <w:t>，</w:t>
      </w:r>
      <w:r>
        <w:t>棠下</w:t>
      </w:r>
      <w:r>
        <w:rPr>
          <w:rFonts w:hint="eastAsia"/>
        </w:rPr>
        <w:t>，</w:t>
      </w:r>
      <w:r>
        <w:t>荷塘</w:t>
      </w:r>
      <w:r>
        <w:rPr>
          <w:rFonts w:hint="eastAsia"/>
        </w:rPr>
        <w:t>，</w:t>
      </w:r>
      <w:r>
        <w:t>杜阮</w:t>
      </w:r>
      <w:r>
        <w:rPr>
          <w:rFonts w:hint="eastAsia"/>
        </w:rPr>
        <w:t>六个社区内的核酸采集点进行数据采集，具体实施范围如下：</w:t>
      </w:r>
    </w:p>
    <w:p>
      <w:pPr>
        <w:pStyle w:val="2"/>
      </w:pPr>
    </w:p>
    <w:p>
      <w:pPr>
        <w:pStyle w:val="13"/>
      </w:pPr>
      <w:r>
        <w:t xml:space="preserve">表 </w:t>
      </w:r>
      <w:r>
        <w:fldChar w:fldCharType="begin"/>
      </w:r>
      <w:r>
        <w:instrText xml:space="preserve"> SEQ 表 \* ARABIC </w:instrText>
      </w:r>
      <w:r>
        <w:fldChar w:fldCharType="separate"/>
      </w:r>
      <w:r>
        <w:t>3</w:t>
      </w:r>
      <w:r>
        <w:fldChar w:fldCharType="end"/>
      </w:r>
      <w:r>
        <w:rPr>
          <w:rFonts w:hint="eastAsia"/>
        </w:rPr>
        <w:t xml:space="preserve"> 项目实施范围一览表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1711"/>
        <w:gridCol w:w="5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shd w:val="clear" w:color="auto" w:fill="D7D7D7" w:themeFill="background1" w:themeFillShade="D8"/>
            <w:vAlign w:val="center"/>
          </w:tcPr>
          <w:p>
            <w:pPr>
              <w:widowControl/>
              <w:jc w:val="center"/>
              <w:textAlignment w:val="center"/>
              <w:rPr>
                <w:rFonts w:cs="宋体"/>
                <w:b/>
                <w:bCs/>
              </w:rPr>
            </w:pPr>
            <w:r>
              <w:rPr>
                <w:rFonts w:hint="eastAsia" w:cs="宋体"/>
                <w:b/>
                <w:bCs/>
                <w:kern w:val="0"/>
                <w:sz w:val="21"/>
                <w:lang w:bidi="ar"/>
              </w:rPr>
              <w:t>序号</w:t>
            </w:r>
          </w:p>
        </w:tc>
        <w:tc>
          <w:tcPr>
            <w:tcW w:w="1003" w:type="pct"/>
            <w:shd w:val="clear" w:color="auto" w:fill="D7D7D7" w:themeFill="background1" w:themeFillShade="D8"/>
            <w:vAlign w:val="center"/>
          </w:tcPr>
          <w:p>
            <w:pPr>
              <w:widowControl/>
              <w:jc w:val="center"/>
              <w:textAlignment w:val="center"/>
              <w:rPr>
                <w:rFonts w:cs="宋体"/>
                <w:b/>
                <w:bCs/>
              </w:rPr>
            </w:pPr>
            <w:r>
              <w:rPr>
                <w:rFonts w:hint="eastAsia" w:cs="宋体"/>
                <w:b/>
                <w:bCs/>
                <w:kern w:val="0"/>
                <w:sz w:val="21"/>
                <w:lang w:bidi="ar"/>
              </w:rPr>
              <w:t>所属社区</w:t>
            </w:r>
          </w:p>
        </w:tc>
        <w:tc>
          <w:tcPr>
            <w:tcW w:w="3445" w:type="pct"/>
            <w:shd w:val="clear" w:color="auto" w:fill="D7D7D7" w:themeFill="background1" w:themeFillShade="D8"/>
            <w:vAlign w:val="center"/>
          </w:tcPr>
          <w:p>
            <w:pPr>
              <w:widowControl/>
              <w:jc w:val="center"/>
              <w:textAlignment w:val="center"/>
              <w:rPr>
                <w:rFonts w:cs="宋体"/>
                <w:b/>
                <w:bCs/>
              </w:rPr>
            </w:pPr>
            <w:r>
              <w:rPr>
                <w:rFonts w:hint="eastAsia" w:cs="宋体"/>
                <w:b/>
                <w:bCs/>
                <w:kern w:val="0"/>
                <w:sz w:val="21"/>
                <w:lang w:bidi="ar"/>
              </w:rPr>
              <w:t>采样点（共99个）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kern w:val="0"/>
                <w:sz w:val="21"/>
                <w:lang w:bidi="ar"/>
              </w:rPr>
            </w:pPr>
          </w:p>
        </w:tc>
        <w:tc>
          <w:tcPr>
            <w:tcW w:w="1003" w:type="pct"/>
            <w:vAlign w:val="center"/>
          </w:tcPr>
          <w:p>
            <w:pPr>
              <w:widowControl/>
              <w:jc w:val="center"/>
              <w:textAlignment w:val="center"/>
              <w:rPr>
                <w:rFonts w:cs="宋体"/>
                <w:kern w:val="0"/>
                <w:sz w:val="21"/>
                <w:lang w:bidi="ar"/>
              </w:rPr>
            </w:pPr>
            <w:r>
              <w:rPr>
                <w:rFonts w:hint="eastAsia" w:cs="宋体"/>
                <w:b/>
                <w:bCs/>
                <w:kern w:val="0"/>
                <w:sz w:val="21"/>
                <w:lang w:bidi="ar"/>
              </w:rPr>
              <w:t>白沙 汇总</w:t>
            </w:r>
          </w:p>
        </w:tc>
        <w:tc>
          <w:tcPr>
            <w:tcW w:w="3445" w:type="pct"/>
            <w:vAlign w:val="center"/>
          </w:tcPr>
          <w:p>
            <w:pPr>
              <w:widowControl/>
              <w:jc w:val="center"/>
              <w:textAlignment w:val="center"/>
              <w:rPr>
                <w:rFonts w:cs="宋体"/>
                <w:kern w:val="0"/>
                <w:sz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甘化文化广场采样点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粤海集团采样点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良化西文体广场采样点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良化南社区公园采样点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良化北广场采样点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东湖公园北门采样点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东湖广场采样点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蓬江区文化馆采样点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美景广场采样点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10</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文化城采样点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11</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东华名岸采样点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12</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青年广场采样点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13</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丰乐社区篮球场采样点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14</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胜坚紫悦采样点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15</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幸福社区公园采样点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16</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海逸峰璟售楼部采样点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17</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kern w:val="0"/>
                <w:sz w:val="21"/>
                <w:lang w:bidi="ar"/>
              </w:rPr>
            </w:pPr>
            <w:r>
              <w:rPr>
                <w:rFonts w:hint="eastAsia" w:cs="宋体"/>
                <w:kern w:val="0"/>
                <w:sz w:val="21"/>
                <w:lang w:bidi="ar"/>
              </w:rPr>
              <w:t>农林社区</w:t>
            </w:r>
          </w:p>
          <w:p>
            <w:pPr>
              <w:widowControl/>
              <w:jc w:val="center"/>
              <w:textAlignment w:val="center"/>
              <w:rPr>
                <w:rFonts w:cs="宋体"/>
              </w:rPr>
            </w:pPr>
            <w:r>
              <w:rPr>
                <w:rFonts w:hint="eastAsia" w:cs="宋体"/>
                <w:kern w:val="0"/>
                <w:sz w:val="21"/>
                <w:lang w:bidi="ar"/>
              </w:rPr>
              <w:t>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18</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世纪城采样点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19</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华园社区公园采样点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20</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何氏宗祠采样点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21</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长安里81号驾校采样点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22</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三角塘公园采样点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23</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永盛社区公园采样点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24</w:t>
            </w:r>
          </w:p>
        </w:tc>
        <w:tc>
          <w:tcPr>
            <w:tcW w:w="1003" w:type="pct"/>
            <w:vAlign w:val="center"/>
          </w:tcPr>
          <w:p>
            <w:pPr>
              <w:widowControl/>
              <w:jc w:val="center"/>
              <w:textAlignment w:val="center"/>
              <w:rPr>
                <w:rFonts w:cs="宋体"/>
              </w:rPr>
            </w:pPr>
            <w:r>
              <w:rPr>
                <w:rFonts w:hint="eastAsia" w:cs="宋体"/>
                <w:kern w:val="0"/>
                <w:sz w:val="21"/>
                <w:lang w:bidi="ar"/>
              </w:rPr>
              <w:t>白沙</w:t>
            </w:r>
          </w:p>
        </w:tc>
        <w:tc>
          <w:tcPr>
            <w:tcW w:w="3445" w:type="pct"/>
            <w:vAlign w:val="center"/>
          </w:tcPr>
          <w:p>
            <w:pPr>
              <w:widowControl/>
              <w:jc w:val="center"/>
              <w:textAlignment w:val="center"/>
              <w:rPr>
                <w:rFonts w:cs="宋体"/>
              </w:rPr>
            </w:pPr>
            <w:r>
              <w:rPr>
                <w:rFonts w:hint="eastAsia" w:cs="宋体"/>
                <w:kern w:val="0"/>
                <w:sz w:val="21"/>
                <w:lang w:bidi="ar"/>
              </w:rPr>
              <w:t>兴盛公园采样点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jc w:val="center"/>
              <w:rPr>
                <w:rFonts w:cs="宋体"/>
              </w:rPr>
            </w:pPr>
          </w:p>
        </w:tc>
        <w:tc>
          <w:tcPr>
            <w:tcW w:w="1003" w:type="pct"/>
            <w:vAlign w:val="center"/>
          </w:tcPr>
          <w:p>
            <w:pPr>
              <w:widowControl/>
              <w:jc w:val="center"/>
              <w:textAlignment w:val="center"/>
              <w:rPr>
                <w:rFonts w:cs="宋体"/>
              </w:rPr>
            </w:pPr>
            <w:r>
              <w:rPr>
                <w:rFonts w:hint="eastAsia" w:cs="宋体"/>
                <w:b/>
                <w:bCs/>
                <w:kern w:val="0"/>
                <w:sz w:val="21"/>
                <w:lang w:bidi="ar"/>
              </w:rPr>
              <w:t>环市 汇总</w:t>
            </w:r>
          </w:p>
        </w:tc>
        <w:tc>
          <w:tcPr>
            <w:tcW w:w="3445" w:type="pct"/>
            <w:vAlign w:val="center"/>
          </w:tcPr>
          <w:p>
            <w:pPr>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25</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天龙文体广场采样点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26</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好景文体广场采样点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27</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东风社区门口广场采样点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28</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定益广场地面停车场采样点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29</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万科广场采样点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30</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茅龙书苑采样点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31</w:t>
            </w:r>
          </w:p>
        </w:tc>
        <w:tc>
          <w:tcPr>
            <w:tcW w:w="1003" w:type="pct"/>
            <w:vAlign w:val="center"/>
          </w:tcPr>
          <w:p>
            <w:pPr>
              <w:widowControl/>
              <w:jc w:val="center"/>
              <w:textAlignment w:val="center"/>
              <w:rPr>
                <w:rFonts w:cs="宋体"/>
              </w:rPr>
            </w:pPr>
            <w:r>
              <w:rPr>
                <w:rFonts w:hint="eastAsia" w:cs="宋体"/>
                <w:kern w:val="0"/>
                <w:sz w:val="22"/>
                <w:szCs w:val="22"/>
                <w:lang w:bidi="ar"/>
              </w:rPr>
              <w:t>环市</w:t>
            </w:r>
          </w:p>
        </w:tc>
        <w:tc>
          <w:tcPr>
            <w:tcW w:w="3445" w:type="pct"/>
            <w:vAlign w:val="center"/>
          </w:tcPr>
          <w:p>
            <w:pPr>
              <w:widowControl/>
              <w:jc w:val="center"/>
              <w:textAlignment w:val="center"/>
              <w:rPr>
                <w:rFonts w:cs="宋体"/>
              </w:rPr>
            </w:pPr>
            <w:r>
              <w:rPr>
                <w:rFonts w:hint="eastAsia" w:cs="宋体"/>
                <w:kern w:val="0"/>
                <w:sz w:val="22"/>
                <w:szCs w:val="22"/>
                <w:lang w:bidi="ar"/>
              </w:rPr>
              <w:t>元宝山公园采样点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32</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丽苑篮球场采样点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33</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双龙篮球场采样点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34</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江门义乌小商品路面停车场采样点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35</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骏景湾豪庭采样点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36</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华侨广场采样点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37</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育德社区文体广场采样点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38</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大长江采样点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39</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中邦广场采样点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40</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群星公园采样点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41</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上城骏园小区采样点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42</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丰乐公园采样点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43</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篁庄活动中心+经联社停车场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44</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越秀地产天悦星院商铺路面停车场采样点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45</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华茵桂语采样点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46</w:t>
            </w:r>
          </w:p>
        </w:tc>
        <w:tc>
          <w:tcPr>
            <w:tcW w:w="1003" w:type="pct"/>
            <w:vAlign w:val="center"/>
          </w:tcPr>
          <w:p>
            <w:pPr>
              <w:widowControl/>
              <w:jc w:val="center"/>
              <w:textAlignment w:val="center"/>
              <w:rPr>
                <w:rFonts w:cs="宋体"/>
              </w:rPr>
            </w:pPr>
            <w:r>
              <w:rPr>
                <w:rFonts w:hint="eastAsia" w:cs="宋体"/>
                <w:kern w:val="0"/>
                <w:sz w:val="21"/>
                <w:lang w:bidi="ar"/>
              </w:rPr>
              <w:t>环市</w:t>
            </w:r>
          </w:p>
        </w:tc>
        <w:tc>
          <w:tcPr>
            <w:tcW w:w="3445" w:type="pct"/>
            <w:vAlign w:val="center"/>
          </w:tcPr>
          <w:p>
            <w:pPr>
              <w:widowControl/>
              <w:jc w:val="center"/>
              <w:textAlignment w:val="center"/>
              <w:rPr>
                <w:rFonts w:cs="宋体"/>
              </w:rPr>
            </w:pPr>
            <w:r>
              <w:rPr>
                <w:rFonts w:hint="eastAsia" w:cs="宋体"/>
                <w:kern w:val="0"/>
                <w:sz w:val="21"/>
                <w:lang w:bidi="ar"/>
              </w:rPr>
              <w:t>五邑大学操场采样点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jc w:val="center"/>
              <w:rPr>
                <w:rFonts w:cs="宋体"/>
              </w:rPr>
            </w:pPr>
          </w:p>
        </w:tc>
        <w:tc>
          <w:tcPr>
            <w:tcW w:w="1003" w:type="pct"/>
            <w:vAlign w:val="center"/>
          </w:tcPr>
          <w:p>
            <w:pPr>
              <w:widowControl/>
              <w:jc w:val="center"/>
              <w:textAlignment w:val="center"/>
              <w:rPr>
                <w:rFonts w:cs="宋体"/>
              </w:rPr>
            </w:pPr>
            <w:r>
              <w:rPr>
                <w:rFonts w:hint="eastAsia" w:cs="宋体"/>
                <w:b/>
                <w:bCs/>
                <w:kern w:val="0"/>
                <w:sz w:val="21"/>
                <w:lang w:bidi="ar"/>
              </w:rPr>
              <w:t>潮连 汇总</w:t>
            </w:r>
          </w:p>
        </w:tc>
        <w:tc>
          <w:tcPr>
            <w:tcW w:w="3445" w:type="pct"/>
            <w:vAlign w:val="center"/>
          </w:tcPr>
          <w:p>
            <w:pPr>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47</w:t>
            </w:r>
          </w:p>
        </w:tc>
        <w:tc>
          <w:tcPr>
            <w:tcW w:w="1003" w:type="pct"/>
            <w:vAlign w:val="center"/>
          </w:tcPr>
          <w:p>
            <w:pPr>
              <w:widowControl/>
              <w:jc w:val="center"/>
              <w:textAlignment w:val="center"/>
              <w:rPr>
                <w:rFonts w:cs="宋体"/>
              </w:rPr>
            </w:pPr>
            <w:r>
              <w:rPr>
                <w:rFonts w:hint="eastAsia" w:cs="宋体"/>
                <w:kern w:val="0"/>
                <w:sz w:val="21"/>
                <w:lang w:bidi="ar"/>
              </w:rPr>
              <w:t>潮连</w:t>
            </w:r>
          </w:p>
        </w:tc>
        <w:tc>
          <w:tcPr>
            <w:tcW w:w="3445" w:type="pct"/>
            <w:vAlign w:val="center"/>
          </w:tcPr>
          <w:p>
            <w:pPr>
              <w:widowControl/>
              <w:jc w:val="center"/>
              <w:textAlignment w:val="center"/>
              <w:rPr>
                <w:rFonts w:cs="宋体"/>
              </w:rPr>
            </w:pPr>
            <w:r>
              <w:rPr>
                <w:rFonts w:hint="eastAsia" w:cs="宋体"/>
                <w:kern w:val="0"/>
                <w:sz w:val="21"/>
                <w:lang w:bidi="ar"/>
              </w:rPr>
              <w:t>潮连街文体广场采集点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48</w:t>
            </w:r>
          </w:p>
        </w:tc>
        <w:tc>
          <w:tcPr>
            <w:tcW w:w="1003" w:type="pct"/>
            <w:vAlign w:val="center"/>
          </w:tcPr>
          <w:p>
            <w:pPr>
              <w:widowControl/>
              <w:jc w:val="center"/>
              <w:textAlignment w:val="center"/>
              <w:rPr>
                <w:rFonts w:cs="宋体"/>
              </w:rPr>
            </w:pPr>
            <w:r>
              <w:rPr>
                <w:rFonts w:hint="eastAsia" w:cs="宋体"/>
                <w:kern w:val="0"/>
                <w:sz w:val="21"/>
                <w:lang w:bidi="ar"/>
              </w:rPr>
              <w:t>潮连</w:t>
            </w:r>
          </w:p>
        </w:tc>
        <w:tc>
          <w:tcPr>
            <w:tcW w:w="3445" w:type="pct"/>
            <w:vAlign w:val="center"/>
          </w:tcPr>
          <w:p>
            <w:pPr>
              <w:widowControl/>
              <w:jc w:val="center"/>
              <w:textAlignment w:val="center"/>
              <w:rPr>
                <w:rFonts w:cs="宋体"/>
              </w:rPr>
            </w:pPr>
            <w:r>
              <w:rPr>
                <w:rFonts w:hint="eastAsia" w:cs="宋体"/>
                <w:kern w:val="0"/>
                <w:sz w:val="21"/>
                <w:lang w:bidi="ar"/>
              </w:rPr>
              <w:t>塘边三坊文体小广场采集点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49</w:t>
            </w:r>
          </w:p>
        </w:tc>
        <w:tc>
          <w:tcPr>
            <w:tcW w:w="1003" w:type="pct"/>
            <w:vAlign w:val="center"/>
          </w:tcPr>
          <w:p>
            <w:pPr>
              <w:widowControl/>
              <w:jc w:val="center"/>
              <w:textAlignment w:val="center"/>
              <w:rPr>
                <w:rFonts w:cs="宋体"/>
              </w:rPr>
            </w:pPr>
            <w:r>
              <w:rPr>
                <w:rFonts w:hint="eastAsia" w:cs="宋体"/>
                <w:kern w:val="0"/>
                <w:sz w:val="21"/>
                <w:lang w:bidi="ar"/>
              </w:rPr>
              <w:t>潮连</w:t>
            </w:r>
          </w:p>
        </w:tc>
        <w:tc>
          <w:tcPr>
            <w:tcW w:w="3445" w:type="pct"/>
            <w:vAlign w:val="center"/>
          </w:tcPr>
          <w:p>
            <w:pPr>
              <w:widowControl/>
              <w:jc w:val="center"/>
              <w:textAlignment w:val="center"/>
              <w:rPr>
                <w:rFonts w:cs="宋体"/>
              </w:rPr>
            </w:pPr>
            <w:r>
              <w:rPr>
                <w:rFonts w:hint="eastAsia" w:cs="宋体"/>
                <w:kern w:val="0"/>
                <w:sz w:val="21"/>
                <w:lang w:bidi="ar"/>
              </w:rPr>
              <w:t>坦边市场停车场采集点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50</w:t>
            </w:r>
          </w:p>
        </w:tc>
        <w:tc>
          <w:tcPr>
            <w:tcW w:w="1003" w:type="pct"/>
            <w:vAlign w:val="center"/>
          </w:tcPr>
          <w:p>
            <w:pPr>
              <w:widowControl/>
              <w:jc w:val="center"/>
              <w:textAlignment w:val="center"/>
              <w:rPr>
                <w:rFonts w:cs="宋体"/>
              </w:rPr>
            </w:pPr>
            <w:r>
              <w:rPr>
                <w:rFonts w:hint="eastAsia" w:cs="宋体"/>
                <w:kern w:val="0"/>
                <w:sz w:val="21"/>
                <w:lang w:bidi="ar"/>
              </w:rPr>
              <w:t>潮连</w:t>
            </w:r>
          </w:p>
        </w:tc>
        <w:tc>
          <w:tcPr>
            <w:tcW w:w="3445" w:type="pct"/>
            <w:vAlign w:val="center"/>
          </w:tcPr>
          <w:p>
            <w:pPr>
              <w:widowControl/>
              <w:jc w:val="center"/>
              <w:textAlignment w:val="center"/>
              <w:rPr>
                <w:rFonts w:cs="宋体"/>
              </w:rPr>
            </w:pPr>
            <w:r>
              <w:rPr>
                <w:rFonts w:hint="eastAsia" w:cs="宋体"/>
                <w:kern w:val="0"/>
                <w:sz w:val="21"/>
                <w:lang w:bidi="ar"/>
              </w:rPr>
              <w:t>潮连工业园（科技产业园）采集点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51</w:t>
            </w:r>
          </w:p>
        </w:tc>
        <w:tc>
          <w:tcPr>
            <w:tcW w:w="1003" w:type="pct"/>
            <w:vAlign w:val="center"/>
          </w:tcPr>
          <w:p>
            <w:pPr>
              <w:widowControl/>
              <w:jc w:val="center"/>
              <w:textAlignment w:val="center"/>
              <w:rPr>
                <w:rFonts w:cs="宋体"/>
              </w:rPr>
            </w:pPr>
            <w:r>
              <w:rPr>
                <w:rFonts w:hint="eastAsia" w:cs="宋体"/>
                <w:kern w:val="0"/>
                <w:sz w:val="21"/>
                <w:lang w:bidi="ar"/>
              </w:rPr>
              <w:t>潮连</w:t>
            </w:r>
          </w:p>
        </w:tc>
        <w:tc>
          <w:tcPr>
            <w:tcW w:w="3445" w:type="pct"/>
            <w:vAlign w:val="center"/>
          </w:tcPr>
          <w:p>
            <w:pPr>
              <w:widowControl/>
              <w:jc w:val="center"/>
              <w:textAlignment w:val="center"/>
              <w:rPr>
                <w:rFonts w:cs="宋体"/>
              </w:rPr>
            </w:pPr>
            <w:r>
              <w:rPr>
                <w:rFonts w:hint="eastAsia" w:cs="宋体"/>
                <w:kern w:val="0"/>
                <w:sz w:val="21"/>
                <w:lang w:bidi="ar"/>
              </w:rPr>
              <w:t>职业技术学院回形楼采集点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jc w:val="center"/>
              <w:rPr>
                <w:rFonts w:cs="宋体"/>
              </w:rPr>
            </w:pPr>
          </w:p>
        </w:tc>
        <w:tc>
          <w:tcPr>
            <w:tcW w:w="1003" w:type="pct"/>
            <w:vAlign w:val="center"/>
          </w:tcPr>
          <w:p>
            <w:pPr>
              <w:widowControl/>
              <w:jc w:val="center"/>
              <w:textAlignment w:val="center"/>
              <w:rPr>
                <w:rFonts w:cs="宋体"/>
              </w:rPr>
            </w:pPr>
            <w:r>
              <w:rPr>
                <w:rFonts w:hint="eastAsia" w:cs="宋体"/>
                <w:b/>
                <w:bCs/>
                <w:kern w:val="0"/>
                <w:sz w:val="21"/>
                <w:lang w:bidi="ar"/>
              </w:rPr>
              <w:t>棠下 汇总</w:t>
            </w:r>
          </w:p>
        </w:tc>
        <w:tc>
          <w:tcPr>
            <w:tcW w:w="3445" w:type="pct"/>
            <w:vAlign w:val="center"/>
          </w:tcPr>
          <w:p>
            <w:pPr>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52</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滨江采集点（保利中悦花园北门）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53</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新昌采集点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54</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天乡采样点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55</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五洞采样点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56</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虎岭采样点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57</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德信（周郡）采集点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58</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大林采集点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59</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沙富采样点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60</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三堡采样点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61</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罗江采样点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62</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莲塘采样点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63</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石头采样点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64</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河山采集点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65</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桐井采集点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66</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横江采集点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67</w:t>
            </w:r>
          </w:p>
        </w:tc>
        <w:tc>
          <w:tcPr>
            <w:tcW w:w="1003" w:type="pct"/>
            <w:vAlign w:val="center"/>
          </w:tcPr>
          <w:p>
            <w:pPr>
              <w:widowControl/>
              <w:jc w:val="center"/>
              <w:textAlignment w:val="center"/>
              <w:rPr>
                <w:rFonts w:cs="宋体"/>
              </w:rPr>
            </w:pPr>
            <w:r>
              <w:rPr>
                <w:rFonts w:hint="eastAsia" w:cs="宋体"/>
                <w:kern w:val="0"/>
                <w:sz w:val="21"/>
                <w:lang w:bidi="ar"/>
              </w:rPr>
              <w:t>棠下</w:t>
            </w:r>
          </w:p>
        </w:tc>
        <w:tc>
          <w:tcPr>
            <w:tcW w:w="3445" w:type="pct"/>
            <w:vAlign w:val="center"/>
          </w:tcPr>
          <w:p>
            <w:pPr>
              <w:widowControl/>
              <w:jc w:val="center"/>
              <w:textAlignment w:val="center"/>
              <w:rPr>
                <w:rFonts w:cs="宋体"/>
              </w:rPr>
            </w:pPr>
            <w:r>
              <w:rPr>
                <w:rFonts w:hint="eastAsia" w:cs="宋体"/>
                <w:kern w:val="0"/>
                <w:sz w:val="21"/>
                <w:lang w:bidi="ar"/>
              </w:rPr>
              <w:t>棠下镇陈垣广场采集点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jc w:val="center"/>
              <w:rPr>
                <w:rFonts w:cs="宋体"/>
              </w:rPr>
            </w:pPr>
          </w:p>
        </w:tc>
        <w:tc>
          <w:tcPr>
            <w:tcW w:w="1003" w:type="pct"/>
            <w:vAlign w:val="center"/>
          </w:tcPr>
          <w:p>
            <w:pPr>
              <w:widowControl/>
              <w:jc w:val="center"/>
              <w:textAlignment w:val="center"/>
              <w:rPr>
                <w:rFonts w:cs="宋体"/>
              </w:rPr>
            </w:pPr>
            <w:r>
              <w:rPr>
                <w:rFonts w:hint="eastAsia" w:cs="宋体"/>
                <w:b/>
                <w:bCs/>
                <w:kern w:val="0"/>
                <w:sz w:val="21"/>
                <w:lang w:bidi="ar"/>
              </w:rPr>
              <w:t>荷塘 汇总</w:t>
            </w:r>
          </w:p>
        </w:tc>
        <w:tc>
          <w:tcPr>
            <w:tcW w:w="3445" w:type="pct"/>
            <w:vAlign w:val="center"/>
          </w:tcPr>
          <w:p>
            <w:pPr>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68</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荷塘镇中心广场采样点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69</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篁湾周源李公祠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70</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禾冈竹苑球场采样点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71</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康溪体育馆采样点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72</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高村洪圣公园球场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73</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荷塘中嘉二期广场采样点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74</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塔岗市场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75</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为民闲步村文体中心采样点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76</w:t>
            </w:r>
          </w:p>
        </w:tc>
        <w:tc>
          <w:tcPr>
            <w:tcW w:w="1003" w:type="pct"/>
            <w:vAlign w:val="center"/>
          </w:tcPr>
          <w:p>
            <w:pPr>
              <w:widowControl/>
              <w:jc w:val="center"/>
              <w:textAlignment w:val="center"/>
              <w:rPr>
                <w:rFonts w:cs="宋体"/>
              </w:rPr>
            </w:pPr>
            <w:r>
              <w:rPr>
                <w:rFonts w:hint="eastAsia" w:cs="宋体"/>
                <w:kern w:val="0"/>
                <w:sz w:val="21"/>
                <w:lang w:bidi="ar"/>
              </w:rPr>
              <w:t>荷塘</w:t>
            </w:r>
          </w:p>
        </w:tc>
        <w:tc>
          <w:tcPr>
            <w:tcW w:w="3445" w:type="pct"/>
            <w:vAlign w:val="center"/>
          </w:tcPr>
          <w:p>
            <w:pPr>
              <w:widowControl/>
              <w:jc w:val="center"/>
              <w:textAlignment w:val="center"/>
              <w:rPr>
                <w:rFonts w:cs="宋体"/>
              </w:rPr>
            </w:pPr>
            <w:r>
              <w:rPr>
                <w:rFonts w:hint="eastAsia" w:cs="宋体"/>
                <w:kern w:val="0"/>
                <w:sz w:val="21"/>
                <w:lang w:bidi="ar"/>
              </w:rPr>
              <w:t>南村篮球场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jc w:val="center"/>
              <w:rPr>
                <w:rFonts w:cs="宋体"/>
              </w:rPr>
            </w:pPr>
          </w:p>
        </w:tc>
        <w:tc>
          <w:tcPr>
            <w:tcW w:w="1003" w:type="pct"/>
            <w:vAlign w:val="center"/>
          </w:tcPr>
          <w:p>
            <w:pPr>
              <w:widowControl/>
              <w:jc w:val="center"/>
              <w:textAlignment w:val="center"/>
              <w:rPr>
                <w:rFonts w:cs="宋体"/>
              </w:rPr>
            </w:pPr>
            <w:r>
              <w:rPr>
                <w:rFonts w:hint="eastAsia" w:cs="宋体"/>
                <w:b/>
                <w:bCs/>
                <w:kern w:val="0"/>
                <w:sz w:val="21"/>
                <w:lang w:bidi="ar"/>
              </w:rPr>
              <w:t>杜阮 汇总</w:t>
            </w:r>
          </w:p>
        </w:tc>
        <w:tc>
          <w:tcPr>
            <w:tcW w:w="3445" w:type="pct"/>
            <w:vAlign w:val="center"/>
          </w:tcPr>
          <w:p>
            <w:pPr>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77</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杜阮村篮球场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78</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中心社区戴爱莲文化广场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79</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杜臂村篮球场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80</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上巷村广场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81</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松园村篮球场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82</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北芦村篮球场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83</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南芦村篮球场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84</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长乔村篮球场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85</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瑶村社区篮球场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86</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中和村篮球场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87</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龙溪村篮球场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88</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亭园村篮球场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89</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双楼村篮球场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90</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井根村委会侧停车场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91</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子绵村篮球场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92</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松岭村篮球场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93</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龙眠村篮球场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94</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龙安村篮球场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95</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龙榜村篮球场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96</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木朗村尹氏宗祠前空地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97</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贯溪村华鸿物流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98</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新河社区公园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pct"/>
            <w:vAlign w:val="center"/>
          </w:tcPr>
          <w:p>
            <w:pPr>
              <w:widowControl/>
              <w:jc w:val="center"/>
              <w:textAlignment w:val="center"/>
              <w:rPr>
                <w:rFonts w:cs="宋体"/>
              </w:rPr>
            </w:pPr>
            <w:r>
              <w:rPr>
                <w:rFonts w:hint="eastAsia" w:cs="宋体"/>
                <w:kern w:val="0"/>
                <w:sz w:val="21"/>
                <w:lang w:bidi="ar"/>
              </w:rPr>
              <w:t>99</w:t>
            </w:r>
          </w:p>
        </w:tc>
        <w:tc>
          <w:tcPr>
            <w:tcW w:w="1003" w:type="pct"/>
            <w:vAlign w:val="center"/>
          </w:tcPr>
          <w:p>
            <w:pPr>
              <w:widowControl/>
              <w:jc w:val="center"/>
              <w:textAlignment w:val="center"/>
              <w:rPr>
                <w:rFonts w:cs="宋体"/>
              </w:rPr>
            </w:pPr>
            <w:r>
              <w:rPr>
                <w:rFonts w:hint="eastAsia" w:cs="宋体"/>
                <w:kern w:val="0"/>
                <w:sz w:val="21"/>
                <w:lang w:bidi="ar"/>
              </w:rPr>
              <w:t>杜阮</w:t>
            </w:r>
          </w:p>
        </w:tc>
        <w:tc>
          <w:tcPr>
            <w:tcW w:w="3445" w:type="pct"/>
            <w:vAlign w:val="center"/>
          </w:tcPr>
          <w:p>
            <w:pPr>
              <w:widowControl/>
              <w:jc w:val="center"/>
              <w:textAlignment w:val="center"/>
              <w:rPr>
                <w:rFonts w:cs="宋体"/>
              </w:rPr>
            </w:pPr>
            <w:r>
              <w:rPr>
                <w:rFonts w:hint="eastAsia" w:cs="宋体"/>
                <w:kern w:val="0"/>
                <w:sz w:val="21"/>
                <w:lang w:bidi="ar"/>
              </w:rPr>
              <w:t>金朗社区村篮球场</w:t>
            </w:r>
          </w:p>
        </w:tc>
      </w:tr>
    </w:tbl>
    <w:p>
      <w:pPr>
        <w:pStyle w:val="2"/>
      </w:pPr>
    </w:p>
    <w:p>
      <w:pPr>
        <w:pStyle w:val="3"/>
        <w:spacing w:before="240" w:after="240"/>
      </w:pPr>
      <w:r>
        <w:rPr>
          <w:rFonts w:hint="eastAsia"/>
        </w:rPr>
        <w:t>保密条款</w:t>
      </w:r>
    </w:p>
    <w:p>
      <w:pPr>
        <w:ind w:firstLine="480" w:firstLineChars="200"/>
      </w:pPr>
      <w:r>
        <w:rPr>
          <w:rFonts w:hint="eastAsia"/>
        </w:rPr>
        <w:t>供应商须承诺严格遵守国家关于保密（包括私隐）方面的所有法律法规，对涉及蓬江区政府机关的数据及资料保密，加强对相关人员的信息安全及保密宣传、培训及管理，对已知的数据、资料保密。</w:t>
      </w:r>
    </w:p>
    <w:p>
      <w:pPr>
        <w:pStyle w:val="3"/>
        <w:spacing w:before="240" w:after="240"/>
      </w:pPr>
      <w:r>
        <w:rPr>
          <w:rFonts w:hint="eastAsia"/>
        </w:rPr>
        <w:t>付款方法</w:t>
      </w:r>
    </w:p>
    <w:p>
      <w:pPr>
        <w:ind w:firstLine="480" w:firstLineChars="200"/>
      </w:pPr>
      <w:r>
        <w:rPr>
          <w:rFonts w:hint="eastAsia"/>
        </w:rPr>
        <w:t>（</w:t>
      </w:r>
      <w:r>
        <w:rPr>
          <w:rFonts w:hint="eastAsia"/>
          <w:lang w:eastAsia="zh-CN"/>
        </w:rPr>
        <w:t>一</w:t>
      </w:r>
      <w:r>
        <w:rPr>
          <w:rFonts w:hint="eastAsia"/>
        </w:rPr>
        <w:t>）采购内容（明细）：依托市的一张图防疫应急指挥和处置信息系统，利用科技手段对我区99个核酸采样点实施现场三维建模形成VR场景。</w:t>
      </w:r>
    </w:p>
    <w:p>
      <w:pPr>
        <w:ind w:firstLine="480" w:firstLineChars="200"/>
      </w:pPr>
      <w:r>
        <w:rPr>
          <w:rFonts w:hint="eastAsia"/>
        </w:rPr>
        <w:t>（</w:t>
      </w:r>
      <w:r>
        <w:rPr>
          <w:rFonts w:hint="eastAsia"/>
          <w:lang w:eastAsia="zh-CN"/>
        </w:rPr>
        <w:t>二</w:t>
      </w:r>
      <w:r>
        <w:rPr>
          <w:rFonts w:hint="eastAsia"/>
        </w:rPr>
        <w:t>）预算金额：委托方以项目打包的方式向供应商购买服务，本次项目的服务为</w:t>
      </w:r>
      <w:r>
        <w:rPr>
          <w:rFonts w:hint="eastAsia"/>
          <w:u w:val="single"/>
        </w:rPr>
        <w:t>¥300，000</w:t>
      </w:r>
      <w:r>
        <w:rPr>
          <w:rFonts w:hint="eastAsia"/>
        </w:rPr>
        <w:t>元，大写：</w:t>
      </w:r>
      <w:r>
        <w:rPr>
          <w:rFonts w:hint="eastAsia"/>
          <w:u w:val="single"/>
        </w:rPr>
        <w:t>人民币叁拾万元整,</w:t>
      </w:r>
      <w:r>
        <w:rPr>
          <w:rFonts w:hint="eastAsia"/>
        </w:rPr>
        <w:t>。</w:t>
      </w:r>
    </w:p>
    <w:p>
      <w:pPr>
        <w:ind w:firstLine="480" w:firstLineChars="200"/>
        <w:rPr>
          <w:color w:val="FF0000"/>
        </w:rPr>
      </w:pPr>
      <w:r>
        <w:rPr>
          <w:rFonts w:hint="eastAsia"/>
        </w:rPr>
        <w:t>（</w:t>
      </w:r>
      <w:r>
        <w:rPr>
          <w:rFonts w:hint="eastAsia"/>
          <w:lang w:eastAsia="zh-CN"/>
        </w:rPr>
        <w:t>三</w:t>
      </w:r>
      <w:r>
        <w:rPr>
          <w:rFonts w:hint="eastAsia"/>
        </w:rPr>
        <w:t>）付款方式：合同签订后，委托方于首期支付合同总价的50%，即15万元，大写：拾伍万元整；项目成果验收合格后，支付剩余的50%款项，及15万元，大写：拾伍万元整。委托方已经办理财政经费支付申请，因政府财政部门审查、财政支付管理流程及预算下达导致支付延期，支付期限自动顺延，委托方不承担责任，供应商不得以此为由迟延履行或不履行义务，委托方应供应商要求可作出相应说明。</w:t>
      </w:r>
    </w:p>
    <w:p>
      <w:pPr>
        <w:pStyle w:val="3"/>
        <w:spacing w:before="240" w:after="240"/>
      </w:pPr>
      <w:r>
        <w:rPr>
          <w:rFonts w:hint="eastAsia"/>
        </w:rPr>
        <w:t>报价上传资料要求</w:t>
      </w:r>
    </w:p>
    <w:p>
      <w:pPr>
        <w:ind w:firstLine="480" w:firstLineChars="200"/>
      </w:pPr>
      <w:r>
        <w:rPr>
          <w:rFonts w:hint="eastAsia"/>
        </w:rPr>
        <w:t>为保证服务质量，报价时需同时上传能证明报价人技术水平和服务水平的相关资料，体现公司综合实力水平；供应商提交的报价资料应由下列部分构成：</w:t>
      </w:r>
    </w:p>
    <w:p>
      <w:pPr>
        <w:ind w:firstLine="480" w:firstLineChars="200"/>
      </w:pPr>
      <w:r>
        <w:rPr>
          <w:rFonts w:hint="eastAsia"/>
        </w:rPr>
        <w:t>（一）供应商资格承诺函（根据供应商资格要求自行拟定格式）；</w:t>
      </w:r>
    </w:p>
    <w:p>
      <w:pPr>
        <w:ind w:firstLine="480" w:firstLineChars="200"/>
      </w:pPr>
      <w:r>
        <w:rPr>
          <w:rFonts w:hint="eastAsia"/>
        </w:rPr>
        <w:t>（二）企业相关资质证书；</w:t>
      </w:r>
    </w:p>
    <w:p>
      <w:pPr>
        <w:ind w:firstLine="480" w:firstLineChars="200"/>
      </w:pPr>
      <w:r>
        <w:t>（三）专业技术人员力量；</w:t>
      </w:r>
    </w:p>
    <w:p>
      <w:pPr>
        <w:ind w:firstLine="480" w:firstLineChars="200"/>
      </w:pPr>
      <w:r>
        <w:t>（四）技术方案；</w:t>
      </w:r>
    </w:p>
    <w:p>
      <w:pPr>
        <w:ind w:firstLine="480" w:firstLineChars="200"/>
        <w:rPr>
          <w:rFonts w:hint="eastAsia"/>
        </w:rPr>
      </w:pPr>
      <w:r>
        <w:t>（五）售后服务承诺</w:t>
      </w:r>
      <w:r>
        <w:rPr>
          <w:rFonts w:hint="eastAsia"/>
        </w:rPr>
        <w:t>。</w:t>
      </w:r>
    </w:p>
    <w:p>
      <w:pPr>
        <w:pStyle w:val="3"/>
        <w:spacing w:before="240" w:after="240"/>
      </w:pPr>
      <w:r>
        <w:rPr>
          <w:rFonts w:hint="eastAsia"/>
        </w:rPr>
        <w:t>违约责任</w:t>
      </w:r>
    </w:p>
    <w:p>
      <w:pPr>
        <w:ind w:firstLine="480" w:firstLineChars="200"/>
      </w:pPr>
      <w:r>
        <w:rPr>
          <w:rFonts w:hint="eastAsia"/>
        </w:rPr>
        <w:t>供应商存在以下违约行为则终止协议，赔付委托方全部项目支付资金：</w:t>
      </w:r>
    </w:p>
    <w:p>
      <w:pPr>
        <w:numPr>
          <w:ilvl w:val="0"/>
          <w:numId w:val="2"/>
        </w:numPr>
        <w:ind w:firstLine="480" w:firstLineChars="200"/>
      </w:pPr>
      <w:r>
        <w:rPr>
          <w:rFonts w:hint="eastAsia"/>
        </w:rPr>
        <w:t>不接受委托方的必要监管；</w:t>
      </w:r>
    </w:p>
    <w:p>
      <w:pPr>
        <w:numPr>
          <w:ilvl w:val="0"/>
          <w:numId w:val="2"/>
        </w:numPr>
        <w:ind w:firstLine="480" w:firstLineChars="200"/>
      </w:pPr>
      <w:r>
        <w:rPr>
          <w:rFonts w:hint="eastAsia"/>
        </w:rPr>
        <w:t>长期没有向委托方汇报工作情况，造成重大项目失误及损失；</w:t>
      </w:r>
    </w:p>
    <w:p>
      <w:pPr>
        <w:numPr>
          <w:ilvl w:val="0"/>
          <w:numId w:val="2"/>
        </w:numPr>
        <w:ind w:firstLine="480" w:firstLineChars="200"/>
      </w:pPr>
      <w:r>
        <w:rPr>
          <w:rFonts w:hint="eastAsia"/>
        </w:rPr>
        <w:t>服务质量经审阅后不合格；</w:t>
      </w:r>
    </w:p>
    <w:p>
      <w:pPr>
        <w:numPr>
          <w:ilvl w:val="0"/>
          <w:numId w:val="2"/>
        </w:numPr>
        <w:ind w:firstLine="480" w:firstLineChars="200"/>
      </w:pPr>
      <w:r>
        <w:rPr>
          <w:rFonts w:hint="eastAsia"/>
        </w:rPr>
        <w:t>工作成果经检查后不合格。</w:t>
      </w:r>
    </w:p>
    <w:p>
      <w:pPr>
        <w:pStyle w:val="3"/>
        <w:spacing w:before="240" w:after="240"/>
      </w:pPr>
      <w:r>
        <w:rPr>
          <w:rFonts w:hint="eastAsia"/>
        </w:rPr>
        <w:t>确定供应商</w:t>
      </w:r>
    </w:p>
    <w:p>
      <w:pPr>
        <w:ind w:firstLine="480" w:firstLineChars="200"/>
      </w:pPr>
      <w:r>
        <w:rPr>
          <w:rFonts w:hint="eastAsia"/>
        </w:rPr>
        <w:t>（一）本项目综合考虑供应商技术条件和服务质量的符合性优先选择确定为供应商。</w:t>
      </w:r>
    </w:p>
    <w:p>
      <w:pPr>
        <w:ind w:firstLine="480" w:firstLineChars="200"/>
      </w:pPr>
      <w:r>
        <w:rPr>
          <w:rFonts w:hint="eastAsia"/>
        </w:rPr>
        <w:t>（二）如供应商达不到响应承诺，故意隐瞒或不反映发现问题，拖延或不予解决的，采购人有权终止合同。</w:t>
      </w:r>
    </w:p>
    <w:p/>
    <w:sectPr>
      <w:footerReference r:id="rId5" w:type="default"/>
      <w:pgSz w:w="11906" w:h="16838"/>
      <w:pgMar w:top="1440" w:right="1797" w:bottom="1440" w:left="1797" w:header="737"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TC">
    <w:altName w:val="MingLiU"/>
    <w:panose1 w:val="00000000000000000000"/>
    <w:charset w:val="88"/>
    <w:family w:val="roman"/>
    <w:pitch w:val="default"/>
    <w:sig w:usb0="00000000" w:usb1="00000000" w:usb2="00000017" w:usb3="00000000" w:csb0="00100001" w:csb1="00000000"/>
  </w:font>
  <w:font w:name="MingLiU">
    <w:panose1 w:val="02020509000000000000"/>
    <w:charset w:val="88"/>
    <w:family w:val="auto"/>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Times New Roman" w:hAnsi="Times New Roman" w:eastAsia="仿宋_GB2312"/>
        <w:sz w:val="21"/>
        <w:szCs w:val="21"/>
      </w:rPr>
    </w:pPr>
    <w:r>
      <w:rPr>
        <w:rFonts w:ascii="Times New Roman" w:hAnsi="Times New Roman" w:eastAsia="仿宋_GB2312"/>
        <w:sz w:val="21"/>
        <w:szCs w:val="21"/>
      </w:rPr>
      <w:fldChar w:fldCharType="begin"/>
    </w:r>
    <w:r>
      <w:rPr>
        <w:rFonts w:ascii="Times New Roman" w:hAnsi="Times New Roman" w:eastAsia="仿宋_GB2312"/>
        <w:sz w:val="21"/>
        <w:szCs w:val="21"/>
      </w:rPr>
      <w:instrText xml:space="preserve">PAGE   \* MERGEFORMAT</w:instrText>
    </w:r>
    <w:r>
      <w:rPr>
        <w:rFonts w:ascii="Times New Roman" w:hAnsi="Times New Roman" w:eastAsia="仿宋_GB2312"/>
        <w:sz w:val="21"/>
        <w:szCs w:val="21"/>
      </w:rPr>
      <w:fldChar w:fldCharType="separate"/>
    </w:r>
    <w:r>
      <w:rPr>
        <w:rFonts w:ascii="Times New Roman" w:hAnsi="Times New Roman" w:eastAsia="仿宋_GB2312"/>
        <w:sz w:val="21"/>
        <w:szCs w:val="21"/>
        <w:lang w:val="zh-CN"/>
      </w:rPr>
      <w:t>1</w:t>
    </w:r>
    <w:r>
      <w:rPr>
        <w:rFonts w:ascii="Times New Roman" w:hAnsi="Times New Roman" w:eastAsia="仿宋_GB2312"/>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BF3F42"/>
    <w:multiLevelType w:val="singleLevel"/>
    <w:tmpl w:val="E0BF3F42"/>
    <w:lvl w:ilvl="0" w:tentative="0">
      <w:start w:val="1"/>
      <w:numFmt w:val="decimalEnclosedCircleChinese"/>
      <w:suff w:val="nothing"/>
      <w:lvlText w:val="%1　"/>
      <w:lvlJc w:val="left"/>
      <w:pPr>
        <w:ind w:left="0" w:firstLine="400"/>
      </w:pPr>
      <w:rPr>
        <w:rFonts w:hint="eastAsia"/>
      </w:rPr>
    </w:lvl>
  </w:abstractNum>
  <w:abstractNum w:abstractNumId="1">
    <w:nsid w:val="48D03FC2"/>
    <w:multiLevelType w:val="multilevel"/>
    <w:tmpl w:val="48D03FC2"/>
    <w:lvl w:ilvl="0" w:tentative="0">
      <w:start w:val="1"/>
      <w:numFmt w:val="chineseCounting"/>
      <w:pStyle w:val="3"/>
      <w:suff w:val="nothing"/>
      <w:lvlText w:val="%1、"/>
      <w:lvlJc w:val="left"/>
      <w:pPr>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jZTQ0OWViZjM4YjllYTEyYmI3NDEwYzE3ODYyMzEifQ=="/>
  </w:docVars>
  <w:rsids>
    <w:rsidRoot w:val="00D65A01"/>
    <w:rsid w:val="00134ED7"/>
    <w:rsid w:val="00481730"/>
    <w:rsid w:val="006F002A"/>
    <w:rsid w:val="007645E3"/>
    <w:rsid w:val="00930CA2"/>
    <w:rsid w:val="00BC5BBB"/>
    <w:rsid w:val="00C355B8"/>
    <w:rsid w:val="00D65A01"/>
    <w:rsid w:val="00F22EAF"/>
    <w:rsid w:val="0116040C"/>
    <w:rsid w:val="020D63CA"/>
    <w:rsid w:val="020E78F1"/>
    <w:rsid w:val="0242088F"/>
    <w:rsid w:val="026513AF"/>
    <w:rsid w:val="02675984"/>
    <w:rsid w:val="027668AA"/>
    <w:rsid w:val="02B250DA"/>
    <w:rsid w:val="02BC5765"/>
    <w:rsid w:val="02D46140"/>
    <w:rsid w:val="02E43371"/>
    <w:rsid w:val="02EA20EC"/>
    <w:rsid w:val="031028DF"/>
    <w:rsid w:val="03511640"/>
    <w:rsid w:val="036D1000"/>
    <w:rsid w:val="039700DB"/>
    <w:rsid w:val="03B27578"/>
    <w:rsid w:val="03BE1FF6"/>
    <w:rsid w:val="03CF537B"/>
    <w:rsid w:val="03F141B0"/>
    <w:rsid w:val="042E69E2"/>
    <w:rsid w:val="0438160E"/>
    <w:rsid w:val="0456025C"/>
    <w:rsid w:val="04AD5C64"/>
    <w:rsid w:val="04EB3E80"/>
    <w:rsid w:val="05126629"/>
    <w:rsid w:val="0557454F"/>
    <w:rsid w:val="05681D24"/>
    <w:rsid w:val="056D5B7F"/>
    <w:rsid w:val="05B86ED6"/>
    <w:rsid w:val="061F008C"/>
    <w:rsid w:val="062B3C87"/>
    <w:rsid w:val="069114AA"/>
    <w:rsid w:val="06A23360"/>
    <w:rsid w:val="06D53145"/>
    <w:rsid w:val="077A2850"/>
    <w:rsid w:val="077E1A2E"/>
    <w:rsid w:val="078B5165"/>
    <w:rsid w:val="08AD2D49"/>
    <w:rsid w:val="08E41F7B"/>
    <w:rsid w:val="08F575B9"/>
    <w:rsid w:val="08FD3500"/>
    <w:rsid w:val="094C17C4"/>
    <w:rsid w:val="096F0B7E"/>
    <w:rsid w:val="097568A1"/>
    <w:rsid w:val="098559BC"/>
    <w:rsid w:val="0A520147"/>
    <w:rsid w:val="0A57507F"/>
    <w:rsid w:val="0A7B04A7"/>
    <w:rsid w:val="0AAA4751"/>
    <w:rsid w:val="0ACA7C67"/>
    <w:rsid w:val="0ADC0202"/>
    <w:rsid w:val="0AE307AB"/>
    <w:rsid w:val="0B3A54AA"/>
    <w:rsid w:val="0BAF665A"/>
    <w:rsid w:val="0BB701E3"/>
    <w:rsid w:val="0BD0037E"/>
    <w:rsid w:val="0BF54260"/>
    <w:rsid w:val="0CCB78EE"/>
    <w:rsid w:val="0D606BAC"/>
    <w:rsid w:val="0DCF78A8"/>
    <w:rsid w:val="0E4A4418"/>
    <w:rsid w:val="0F656069"/>
    <w:rsid w:val="0F8F0447"/>
    <w:rsid w:val="0FC42084"/>
    <w:rsid w:val="0FD53CED"/>
    <w:rsid w:val="0FEE3673"/>
    <w:rsid w:val="0FF80E4E"/>
    <w:rsid w:val="103E1FA2"/>
    <w:rsid w:val="107625AC"/>
    <w:rsid w:val="10A237B9"/>
    <w:rsid w:val="10C123BF"/>
    <w:rsid w:val="10EE0E57"/>
    <w:rsid w:val="112E181D"/>
    <w:rsid w:val="115B2AD9"/>
    <w:rsid w:val="1189569B"/>
    <w:rsid w:val="12791770"/>
    <w:rsid w:val="128B711D"/>
    <w:rsid w:val="12B644E5"/>
    <w:rsid w:val="13025302"/>
    <w:rsid w:val="13375B62"/>
    <w:rsid w:val="133B4B7B"/>
    <w:rsid w:val="13561194"/>
    <w:rsid w:val="13914E7C"/>
    <w:rsid w:val="139A7BF0"/>
    <w:rsid w:val="13A641C4"/>
    <w:rsid w:val="14215A36"/>
    <w:rsid w:val="142E49AD"/>
    <w:rsid w:val="144E4875"/>
    <w:rsid w:val="14A25C31"/>
    <w:rsid w:val="14D616D0"/>
    <w:rsid w:val="14F12276"/>
    <w:rsid w:val="15FA077D"/>
    <w:rsid w:val="16445BF1"/>
    <w:rsid w:val="166728A2"/>
    <w:rsid w:val="16861241"/>
    <w:rsid w:val="169823F8"/>
    <w:rsid w:val="16A20B69"/>
    <w:rsid w:val="173E2F55"/>
    <w:rsid w:val="1748511D"/>
    <w:rsid w:val="18095344"/>
    <w:rsid w:val="1886285B"/>
    <w:rsid w:val="18AB46CF"/>
    <w:rsid w:val="18CF1E53"/>
    <w:rsid w:val="194A5547"/>
    <w:rsid w:val="19502A8A"/>
    <w:rsid w:val="196073F5"/>
    <w:rsid w:val="19C239FC"/>
    <w:rsid w:val="19CE10B3"/>
    <w:rsid w:val="19E56CA1"/>
    <w:rsid w:val="19EA5506"/>
    <w:rsid w:val="1A013AE9"/>
    <w:rsid w:val="1A1B68D4"/>
    <w:rsid w:val="1A2C62D9"/>
    <w:rsid w:val="1AC04C79"/>
    <w:rsid w:val="1B070A3A"/>
    <w:rsid w:val="1B151928"/>
    <w:rsid w:val="1B2E7965"/>
    <w:rsid w:val="1B3B2809"/>
    <w:rsid w:val="1B5F321F"/>
    <w:rsid w:val="1B9B77C5"/>
    <w:rsid w:val="1BD15C14"/>
    <w:rsid w:val="1BD16179"/>
    <w:rsid w:val="1BE20B22"/>
    <w:rsid w:val="1BE74C35"/>
    <w:rsid w:val="1C0E29E3"/>
    <w:rsid w:val="1C295FB5"/>
    <w:rsid w:val="1C4A7A60"/>
    <w:rsid w:val="1C735482"/>
    <w:rsid w:val="1C8F2787"/>
    <w:rsid w:val="1D957381"/>
    <w:rsid w:val="1D965B5D"/>
    <w:rsid w:val="1DA81E70"/>
    <w:rsid w:val="1E2B2D68"/>
    <w:rsid w:val="1E4539CB"/>
    <w:rsid w:val="1E560895"/>
    <w:rsid w:val="1EBE60F8"/>
    <w:rsid w:val="1EEF719E"/>
    <w:rsid w:val="1F0F0615"/>
    <w:rsid w:val="1F63219C"/>
    <w:rsid w:val="1F736997"/>
    <w:rsid w:val="1F845C17"/>
    <w:rsid w:val="1F8D0609"/>
    <w:rsid w:val="1F8F40C1"/>
    <w:rsid w:val="1FC71F6B"/>
    <w:rsid w:val="202504E4"/>
    <w:rsid w:val="20310174"/>
    <w:rsid w:val="2031368A"/>
    <w:rsid w:val="203F072E"/>
    <w:rsid w:val="208B1A65"/>
    <w:rsid w:val="20A62CE0"/>
    <w:rsid w:val="20FA3AF5"/>
    <w:rsid w:val="210C7C53"/>
    <w:rsid w:val="2150549A"/>
    <w:rsid w:val="218770D0"/>
    <w:rsid w:val="219A3123"/>
    <w:rsid w:val="21C522C0"/>
    <w:rsid w:val="221661FD"/>
    <w:rsid w:val="22436171"/>
    <w:rsid w:val="225D205E"/>
    <w:rsid w:val="22CB5AC4"/>
    <w:rsid w:val="22DA1607"/>
    <w:rsid w:val="22FD0C98"/>
    <w:rsid w:val="231148D7"/>
    <w:rsid w:val="23305E7B"/>
    <w:rsid w:val="233C2B56"/>
    <w:rsid w:val="23434E70"/>
    <w:rsid w:val="23575213"/>
    <w:rsid w:val="236B6ABC"/>
    <w:rsid w:val="2372484F"/>
    <w:rsid w:val="237578D5"/>
    <w:rsid w:val="239501F9"/>
    <w:rsid w:val="23E90C27"/>
    <w:rsid w:val="244C38CA"/>
    <w:rsid w:val="247E1EA9"/>
    <w:rsid w:val="24C06A07"/>
    <w:rsid w:val="24D75E54"/>
    <w:rsid w:val="24E52C95"/>
    <w:rsid w:val="24F564EB"/>
    <w:rsid w:val="253A722E"/>
    <w:rsid w:val="2550541B"/>
    <w:rsid w:val="25AC3814"/>
    <w:rsid w:val="25C1441D"/>
    <w:rsid w:val="27721B4B"/>
    <w:rsid w:val="27FD4452"/>
    <w:rsid w:val="27FF2FB2"/>
    <w:rsid w:val="280D317C"/>
    <w:rsid w:val="28245EE8"/>
    <w:rsid w:val="282F7CA3"/>
    <w:rsid w:val="29053906"/>
    <w:rsid w:val="295C6B6D"/>
    <w:rsid w:val="2985212C"/>
    <w:rsid w:val="29B77AEC"/>
    <w:rsid w:val="29CD0DDE"/>
    <w:rsid w:val="29F107F0"/>
    <w:rsid w:val="2A027E45"/>
    <w:rsid w:val="2A7B7B09"/>
    <w:rsid w:val="2A7D51A5"/>
    <w:rsid w:val="2AA248E8"/>
    <w:rsid w:val="2ADE2707"/>
    <w:rsid w:val="2B5D34A2"/>
    <w:rsid w:val="2B786F8B"/>
    <w:rsid w:val="2C0F7928"/>
    <w:rsid w:val="2C342C27"/>
    <w:rsid w:val="2C4778A5"/>
    <w:rsid w:val="2C8B3174"/>
    <w:rsid w:val="2CBF21CE"/>
    <w:rsid w:val="2CCB32BE"/>
    <w:rsid w:val="2CCB6E71"/>
    <w:rsid w:val="2CEE107A"/>
    <w:rsid w:val="2D010548"/>
    <w:rsid w:val="2D6055AE"/>
    <w:rsid w:val="2DBD7908"/>
    <w:rsid w:val="2DEC7614"/>
    <w:rsid w:val="2E535C92"/>
    <w:rsid w:val="2E5518E5"/>
    <w:rsid w:val="2E617AA6"/>
    <w:rsid w:val="2E92252E"/>
    <w:rsid w:val="2E993255"/>
    <w:rsid w:val="2EE901DE"/>
    <w:rsid w:val="2F2A46F2"/>
    <w:rsid w:val="2F776539"/>
    <w:rsid w:val="2FA12AF3"/>
    <w:rsid w:val="2FFD0E93"/>
    <w:rsid w:val="30182170"/>
    <w:rsid w:val="302F0585"/>
    <w:rsid w:val="303F47B6"/>
    <w:rsid w:val="30440A59"/>
    <w:rsid w:val="305A3F72"/>
    <w:rsid w:val="31215E57"/>
    <w:rsid w:val="317025C4"/>
    <w:rsid w:val="31B24EF6"/>
    <w:rsid w:val="31BF683C"/>
    <w:rsid w:val="320D55D9"/>
    <w:rsid w:val="32246DED"/>
    <w:rsid w:val="322D2270"/>
    <w:rsid w:val="324A05DB"/>
    <w:rsid w:val="32EE4D4C"/>
    <w:rsid w:val="33451B9B"/>
    <w:rsid w:val="337E4BC0"/>
    <w:rsid w:val="33C526A8"/>
    <w:rsid w:val="33E7520D"/>
    <w:rsid w:val="34243690"/>
    <w:rsid w:val="342A06C4"/>
    <w:rsid w:val="3432295B"/>
    <w:rsid w:val="34350A38"/>
    <w:rsid w:val="34370784"/>
    <w:rsid w:val="343E6971"/>
    <w:rsid w:val="34641FFC"/>
    <w:rsid w:val="349D1ECF"/>
    <w:rsid w:val="34B44085"/>
    <w:rsid w:val="34D251A6"/>
    <w:rsid w:val="34DC1E69"/>
    <w:rsid w:val="350B4052"/>
    <w:rsid w:val="35146EB1"/>
    <w:rsid w:val="351849C1"/>
    <w:rsid w:val="3578274F"/>
    <w:rsid w:val="358E6A31"/>
    <w:rsid w:val="35AF5D9E"/>
    <w:rsid w:val="361040B0"/>
    <w:rsid w:val="3638275F"/>
    <w:rsid w:val="36455483"/>
    <w:rsid w:val="3667540C"/>
    <w:rsid w:val="369812C8"/>
    <w:rsid w:val="369E14F5"/>
    <w:rsid w:val="36B67FB5"/>
    <w:rsid w:val="36B77EA8"/>
    <w:rsid w:val="36E42DAC"/>
    <w:rsid w:val="36E627EF"/>
    <w:rsid w:val="36FC6348"/>
    <w:rsid w:val="377F0D27"/>
    <w:rsid w:val="379772F8"/>
    <w:rsid w:val="37AE6AF0"/>
    <w:rsid w:val="38131D64"/>
    <w:rsid w:val="38327340"/>
    <w:rsid w:val="386D5023"/>
    <w:rsid w:val="387279A2"/>
    <w:rsid w:val="3885236D"/>
    <w:rsid w:val="389E0F6D"/>
    <w:rsid w:val="38B24AAD"/>
    <w:rsid w:val="392A31CA"/>
    <w:rsid w:val="393A79C0"/>
    <w:rsid w:val="398E34A3"/>
    <w:rsid w:val="39DD7006"/>
    <w:rsid w:val="3A187FF0"/>
    <w:rsid w:val="3A517E10"/>
    <w:rsid w:val="3A527D6F"/>
    <w:rsid w:val="3AED4705"/>
    <w:rsid w:val="3AFE6D94"/>
    <w:rsid w:val="3B0F2CA1"/>
    <w:rsid w:val="3B1612F9"/>
    <w:rsid w:val="3B273208"/>
    <w:rsid w:val="3B4B07E1"/>
    <w:rsid w:val="3B50220D"/>
    <w:rsid w:val="3B5B1F42"/>
    <w:rsid w:val="3BDA4594"/>
    <w:rsid w:val="3C3222B0"/>
    <w:rsid w:val="3C5E5A6E"/>
    <w:rsid w:val="3C5F22F6"/>
    <w:rsid w:val="3C7F26E5"/>
    <w:rsid w:val="3CBA362E"/>
    <w:rsid w:val="3CC2593E"/>
    <w:rsid w:val="3CE243E1"/>
    <w:rsid w:val="3D006466"/>
    <w:rsid w:val="3D3C02C2"/>
    <w:rsid w:val="3D3F67EB"/>
    <w:rsid w:val="3D4D5925"/>
    <w:rsid w:val="3D765062"/>
    <w:rsid w:val="3DAD4788"/>
    <w:rsid w:val="3DCC70EA"/>
    <w:rsid w:val="3E071F72"/>
    <w:rsid w:val="3E3C257D"/>
    <w:rsid w:val="3E462082"/>
    <w:rsid w:val="3E6A6082"/>
    <w:rsid w:val="3E7F771C"/>
    <w:rsid w:val="3EB455DB"/>
    <w:rsid w:val="3EB76FF8"/>
    <w:rsid w:val="3F044C68"/>
    <w:rsid w:val="3F477D79"/>
    <w:rsid w:val="3F5605BF"/>
    <w:rsid w:val="3F733CC8"/>
    <w:rsid w:val="3FA046F4"/>
    <w:rsid w:val="4008017D"/>
    <w:rsid w:val="400B38ED"/>
    <w:rsid w:val="402C6EB7"/>
    <w:rsid w:val="403A3DFF"/>
    <w:rsid w:val="40435FCA"/>
    <w:rsid w:val="40832EB9"/>
    <w:rsid w:val="40C32B74"/>
    <w:rsid w:val="40C75E22"/>
    <w:rsid w:val="40DB4F83"/>
    <w:rsid w:val="41457DE1"/>
    <w:rsid w:val="41B3663A"/>
    <w:rsid w:val="41D22E3C"/>
    <w:rsid w:val="41E94222"/>
    <w:rsid w:val="423E3981"/>
    <w:rsid w:val="4281660F"/>
    <w:rsid w:val="428F5A3E"/>
    <w:rsid w:val="42D2127F"/>
    <w:rsid w:val="431F4F21"/>
    <w:rsid w:val="433E185E"/>
    <w:rsid w:val="43400076"/>
    <w:rsid w:val="43947908"/>
    <w:rsid w:val="43AD76EC"/>
    <w:rsid w:val="43B65205"/>
    <w:rsid w:val="43E97C54"/>
    <w:rsid w:val="43F30C23"/>
    <w:rsid w:val="43F42E97"/>
    <w:rsid w:val="447D0F53"/>
    <w:rsid w:val="44930357"/>
    <w:rsid w:val="44AB6CB7"/>
    <w:rsid w:val="44AD2F43"/>
    <w:rsid w:val="45266C1D"/>
    <w:rsid w:val="45FB3C6E"/>
    <w:rsid w:val="46075D76"/>
    <w:rsid w:val="46974FAC"/>
    <w:rsid w:val="46AB7443"/>
    <w:rsid w:val="472B0583"/>
    <w:rsid w:val="47685170"/>
    <w:rsid w:val="479B4556"/>
    <w:rsid w:val="47F47C0F"/>
    <w:rsid w:val="483E7E42"/>
    <w:rsid w:val="485C23F1"/>
    <w:rsid w:val="488C32A4"/>
    <w:rsid w:val="489F4D85"/>
    <w:rsid w:val="48EB6950"/>
    <w:rsid w:val="4927403A"/>
    <w:rsid w:val="49626C3B"/>
    <w:rsid w:val="49BA2B7C"/>
    <w:rsid w:val="49BA79D8"/>
    <w:rsid w:val="49D15412"/>
    <w:rsid w:val="4A7D255D"/>
    <w:rsid w:val="4A8D0E56"/>
    <w:rsid w:val="4AEA5105"/>
    <w:rsid w:val="4AED4A1D"/>
    <w:rsid w:val="4BE428B5"/>
    <w:rsid w:val="4BEF4B6D"/>
    <w:rsid w:val="4C0D03ED"/>
    <w:rsid w:val="4D44779A"/>
    <w:rsid w:val="4D4D1F49"/>
    <w:rsid w:val="4D8B1D7C"/>
    <w:rsid w:val="4DAA454F"/>
    <w:rsid w:val="4E0F47DD"/>
    <w:rsid w:val="4E166CC0"/>
    <w:rsid w:val="4E406B77"/>
    <w:rsid w:val="4E475998"/>
    <w:rsid w:val="4E841B07"/>
    <w:rsid w:val="4E9C25BE"/>
    <w:rsid w:val="4E9C3043"/>
    <w:rsid w:val="4EDD071D"/>
    <w:rsid w:val="4F00043F"/>
    <w:rsid w:val="4F1A2067"/>
    <w:rsid w:val="4F3028CB"/>
    <w:rsid w:val="4F375D8C"/>
    <w:rsid w:val="4F555027"/>
    <w:rsid w:val="4F6C4FC8"/>
    <w:rsid w:val="4FF353E6"/>
    <w:rsid w:val="4FF64497"/>
    <w:rsid w:val="502B545E"/>
    <w:rsid w:val="50CC1DC2"/>
    <w:rsid w:val="50D809C9"/>
    <w:rsid w:val="512A49F6"/>
    <w:rsid w:val="515B7CB7"/>
    <w:rsid w:val="51770F30"/>
    <w:rsid w:val="518873FD"/>
    <w:rsid w:val="518A6DE3"/>
    <w:rsid w:val="51C118CC"/>
    <w:rsid w:val="522B080E"/>
    <w:rsid w:val="524C0958"/>
    <w:rsid w:val="525D1E09"/>
    <w:rsid w:val="527232EC"/>
    <w:rsid w:val="527B771C"/>
    <w:rsid w:val="52BE6F33"/>
    <w:rsid w:val="52D606A7"/>
    <w:rsid w:val="52D93C00"/>
    <w:rsid w:val="52E1583B"/>
    <w:rsid w:val="530942D4"/>
    <w:rsid w:val="53250F01"/>
    <w:rsid w:val="532C190B"/>
    <w:rsid w:val="533B2D1E"/>
    <w:rsid w:val="53727C92"/>
    <w:rsid w:val="539447FE"/>
    <w:rsid w:val="53DC6DE0"/>
    <w:rsid w:val="53F02891"/>
    <w:rsid w:val="543C3578"/>
    <w:rsid w:val="54A0435F"/>
    <w:rsid w:val="55407935"/>
    <w:rsid w:val="554A6539"/>
    <w:rsid w:val="555C6909"/>
    <w:rsid w:val="55663217"/>
    <w:rsid w:val="557430F6"/>
    <w:rsid w:val="55794BB0"/>
    <w:rsid w:val="55AF26E6"/>
    <w:rsid w:val="56031354"/>
    <w:rsid w:val="567637A4"/>
    <w:rsid w:val="567B6A7C"/>
    <w:rsid w:val="56AC2402"/>
    <w:rsid w:val="56E13E40"/>
    <w:rsid w:val="56E93B48"/>
    <w:rsid w:val="573C7C43"/>
    <w:rsid w:val="576174F7"/>
    <w:rsid w:val="57803CDA"/>
    <w:rsid w:val="5789549E"/>
    <w:rsid w:val="57912DBF"/>
    <w:rsid w:val="57925D2A"/>
    <w:rsid w:val="58071CCF"/>
    <w:rsid w:val="58262DCD"/>
    <w:rsid w:val="5866141B"/>
    <w:rsid w:val="58B13564"/>
    <w:rsid w:val="590E075B"/>
    <w:rsid w:val="590F010B"/>
    <w:rsid w:val="596557B1"/>
    <w:rsid w:val="598F276C"/>
    <w:rsid w:val="59A909B8"/>
    <w:rsid w:val="59B406FC"/>
    <w:rsid w:val="59CF637B"/>
    <w:rsid w:val="5A04713E"/>
    <w:rsid w:val="5A094754"/>
    <w:rsid w:val="5A2A23AA"/>
    <w:rsid w:val="5A7B1B70"/>
    <w:rsid w:val="5ABA4318"/>
    <w:rsid w:val="5ACB7659"/>
    <w:rsid w:val="5AD3051C"/>
    <w:rsid w:val="5B073041"/>
    <w:rsid w:val="5B1A473F"/>
    <w:rsid w:val="5BBC20DB"/>
    <w:rsid w:val="5BBD0D66"/>
    <w:rsid w:val="5BEE6D0F"/>
    <w:rsid w:val="5C1D3ABE"/>
    <w:rsid w:val="5D106A11"/>
    <w:rsid w:val="5D2044D5"/>
    <w:rsid w:val="5D5C7413"/>
    <w:rsid w:val="5D9735C9"/>
    <w:rsid w:val="5E480E6E"/>
    <w:rsid w:val="5E8502EE"/>
    <w:rsid w:val="5F801D1D"/>
    <w:rsid w:val="5FAB0D27"/>
    <w:rsid w:val="5FB61D98"/>
    <w:rsid w:val="605A15D1"/>
    <w:rsid w:val="6142054C"/>
    <w:rsid w:val="617C0CC1"/>
    <w:rsid w:val="61853B48"/>
    <w:rsid w:val="618F1598"/>
    <w:rsid w:val="61A66D2D"/>
    <w:rsid w:val="61B10F19"/>
    <w:rsid w:val="61B709ED"/>
    <w:rsid w:val="61DA2ADC"/>
    <w:rsid w:val="62030153"/>
    <w:rsid w:val="621C5F2F"/>
    <w:rsid w:val="6262676D"/>
    <w:rsid w:val="628E0407"/>
    <w:rsid w:val="629B0A16"/>
    <w:rsid w:val="63080F55"/>
    <w:rsid w:val="631B494C"/>
    <w:rsid w:val="632B4784"/>
    <w:rsid w:val="63676048"/>
    <w:rsid w:val="63CE1ECF"/>
    <w:rsid w:val="647D5E84"/>
    <w:rsid w:val="648B2969"/>
    <w:rsid w:val="64E73F38"/>
    <w:rsid w:val="64FB57D7"/>
    <w:rsid w:val="650C75F1"/>
    <w:rsid w:val="651149CA"/>
    <w:rsid w:val="652021C8"/>
    <w:rsid w:val="65474E84"/>
    <w:rsid w:val="659A1F48"/>
    <w:rsid w:val="65AD68DC"/>
    <w:rsid w:val="65C60712"/>
    <w:rsid w:val="65F67D0E"/>
    <w:rsid w:val="66937A75"/>
    <w:rsid w:val="669F0D5A"/>
    <w:rsid w:val="66BC5074"/>
    <w:rsid w:val="66FC6CBA"/>
    <w:rsid w:val="672520C8"/>
    <w:rsid w:val="675325CF"/>
    <w:rsid w:val="677577A7"/>
    <w:rsid w:val="678D395C"/>
    <w:rsid w:val="678E4344"/>
    <w:rsid w:val="67933296"/>
    <w:rsid w:val="679B6D62"/>
    <w:rsid w:val="67B24FE9"/>
    <w:rsid w:val="68187D4E"/>
    <w:rsid w:val="68376930"/>
    <w:rsid w:val="68610706"/>
    <w:rsid w:val="6865076A"/>
    <w:rsid w:val="68AF296B"/>
    <w:rsid w:val="68F347CC"/>
    <w:rsid w:val="692D1AE1"/>
    <w:rsid w:val="6972022B"/>
    <w:rsid w:val="69AE0DFA"/>
    <w:rsid w:val="69D31053"/>
    <w:rsid w:val="6A6C7098"/>
    <w:rsid w:val="6ABB567C"/>
    <w:rsid w:val="6AE37335"/>
    <w:rsid w:val="6B386C9C"/>
    <w:rsid w:val="6B5C5C82"/>
    <w:rsid w:val="6BB5357C"/>
    <w:rsid w:val="6C0E3A83"/>
    <w:rsid w:val="6C203095"/>
    <w:rsid w:val="6C356236"/>
    <w:rsid w:val="6C702411"/>
    <w:rsid w:val="6C8E428A"/>
    <w:rsid w:val="6CB83AEB"/>
    <w:rsid w:val="6CE70173"/>
    <w:rsid w:val="6D0D7C60"/>
    <w:rsid w:val="6D147CD3"/>
    <w:rsid w:val="6D205BE5"/>
    <w:rsid w:val="6D5128A1"/>
    <w:rsid w:val="6D6C258C"/>
    <w:rsid w:val="6DD93C9C"/>
    <w:rsid w:val="6E2206B2"/>
    <w:rsid w:val="6E4422D0"/>
    <w:rsid w:val="6E8F305C"/>
    <w:rsid w:val="6EE53F9A"/>
    <w:rsid w:val="6F206A3D"/>
    <w:rsid w:val="6F5931A4"/>
    <w:rsid w:val="6F674FB0"/>
    <w:rsid w:val="6F714A41"/>
    <w:rsid w:val="6F7C2E7B"/>
    <w:rsid w:val="6FAB55E1"/>
    <w:rsid w:val="6FF43359"/>
    <w:rsid w:val="701E0391"/>
    <w:rsid w:val="702C48A1"/>
    <w:rsid w:val="704A3736"/>
    <w:rsid w:val="70757FF6"/>
    <w:rsid w:val="7087291A"/>
    <w:rsid w:val="70A46B2D"/>
    <w:rsid w:val="70B86135"/>
    <w:rsid w:val="70D2369A"/>
    <w:rsid w:val="71140943"/>
    <w:rsid w:val="71200F02"/>
    <w:rsid w:val="715E51B5"/>
    <w:rsid w:val="71F55FAD"/>
    <w:rsid w:val="722C3D3F"/>
    <w:rsid w:val="727722EA"/>
    <w:rsid w:val="731E63D3"/>
    <w:rsid w:val="73732860"/>
    <w:rsid w:val="737547B1"/>
    <w:rsid w:val="73984119"/>
    <w:rsid w:val="73C636A7"/>
    <w:rsid w:val="73D4750A"/>
    <w:rsid w:val="73FF21C6"/>
    <w:rsid w:val="745932BD"/>
    <w:rsid w:val="749A5772"/>
    <w:rsid w:val="7546636E"/>
    <w:rsid w:val="754F4A53"/>
    <w:rsid w:val="75991D1E"/>
    <w:rsid w:val="75AC5A7A"/>
    <w:rsid w:val="75B42287"/>
    <w:rsid w:val="7691656D"/>
    <w:rsid w:val="76AB17F5"/>
    <w:rsid w:val="76DD2E87"/>
    <w:rsid w:val="76EC5423"/>
    <w:rsid w:val="77063D3C"/>
    <w:rsid w:val="772C37AC"/>
    <w:rsid w:val="77634468"/>
    <w:rsid w:val="776A5A1D"/>
    <w:rsid w:val="777D1E86"/>
    <w:rsid w:val="77A01DE8"/>
    <w:rsid w:val="77E64062"/>
    <w:rsid w:val="77F33273"/>
    <w:rsid w:val="78B512EA"/>
    <w:rsid w:val="79030316"/>
    <w:rsid w:val="79206F6D"/>
    <w:rsid w:val="79277D3D"/>
    <w:rsid w:val="79430652"/>
    <w:rsid w:val="794B223C"/>
    <w:rsid w:val="796F4F96"/>
    <w:rsid w:val="79A01EB8"/>
    <w:rsid w:val="79C1605A"/>
    <w:rsid w:val="79E60EE9"/>
    <w:rsid w:val="7A2F32AA"/>
    <w:rsid w:val="7A3170A0"/>
    <w:rsid w:val="7A675241"/>
    <w:rsid w:val="7AB160CE"/>
    <w:rsid w:val="7BE72378"/>
    <w:rsid w:val="7C312D70"/>
    <w:rsid w:val="7C343B3A"/>
    <w:rsid w:val="7C6A472A"/>
    <w:rsid w:val="7C8136A6"/>
    <w:rsid w:val="7CF1148F"/>
    <w:rsid w:val="7D652D9E"/>
    <w:rsid w:val="7D7C2919"/>
    <w:rsid w:val="7DDF3B35"/>
    <w:rsid w:val="7EC32880"/>
    <w:rsid w:val="7ED50319"/>
    <w:rsid w:val="7F157066"/>
    <w:rsid w:val="7F1652D0"/>
    <w:rsid w:val="7F200ECB"/>
    <w:rsid w:val="7F203823"/>
    <w:rsid w:val="7F4D73C6"/>
    <w:rsid w:val="7F6022A2"/>
    <w:rsid w:val="7F6A026E"/>
    <w:rsid w:val="7F916129"/>
    <w:rsid w:val="7FCB7C32"/>
    <w:rsid w:val="7FDA6FC9"/>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宋体" w:eastAsia="宋体" w:cs="Times New Roman"/>
      <w:kern w:val="2"/>
      <w:sz w:val="24"/>
      <w:szCs w:val="21"/>
      <w:lang w:val="en-US" w:eastAsia="zh-CN" w:bidi="ar-SA"/>
    </w:rPr>
  </w:style>
  <w:style w:type="paragraph" w:styleId="3">
    <w:name w:val="heading 1"/>
    <w:basedOn w:val="1"/>
    <w:next w:val="1"/>
    <w:link w:val="32"/>
    <w:qFormat/>
    <w:uiPriority w:val="0"/>
    <w:pPr>
      <w:keepNext/>
      <w:numPr>
        <w:ilvl w:val="0"/>
        <w:numId w:val="1"/>
      </w:numPr>
      <w:adjustRightInd w:val="0"/>
      <w:snapToGrid w:val="0"/>
      <w:spacing w:before="100" w:beforeLines="100" w:after="100" w:afterLines="100"/>
      <w:jc w:val="left"/>
      <w:outlineLvl w:val="0"/>
    </w:pPr>
    <w:rPr>
      <w:rFonts w:ascii="黑体" w:hAnsi="黑体" w:eastAsia="黑体"/>
      <w:b/>
      <w:color w:val="000000"/>
      <w:sz w:val="36"/>
      <w:szCs w:val="32"/>
    </w:rPr>
  </w:style>
  <w:style w:type="paragraph" w:styleId="4">
    <w:name w:val="heading 2"/>
    <w:basedOn w:val="3"/>
    <w:next w:val="1"/>
    <w:link w:val="33"/>
    <w:unhideWhenUsed/>
    <w:qFormat/>
    <w:uiPriority w:val="0"/>
    <w:pPr>
      <w:numPr>
        <w:ilvl w:val="1"/>
      </w:numPr>
      <w:spacing w:before="50" w:beforeLines="50" w:after="50" w:afterLines="50"/>
      <w:outlineLvl w:val="1"/>
    </w:pPr>
    <w:rPr>
      <w:kern w:val="0"/>
      <w:sz w:val="32"/>
      <w:szCs w:val="21"/>
    </w:rPr>
  </w:style>
  <w:style w:type="paragraph" w:styleId="5">
    <w:name w:val="heading 3"/>
    <w:basedOn w:val="3"/>
    <w:next w:val="1"/>
    <w:link w:val="34"/>
    <w:unhideWhenUsed/>
    <w:qFormat/>
    <w:uiPriority w:val="0"/>
    <w:pPr>
      <w:numPr>
        <w:ilvl w:val="2"/>
      </w:numPr>
      <w:spacing w:before="50" w:beforeLines="50" w:after="50" w:afterLines="50"/>
      <w:outlineLvl w:val="2"/>
    </w:pPr>
    <w:rPr>
      <w:rFonts w:cs="PingFang TC"/>
      <w:sz w:val="32"/>
      <w:szCs w:val="21"/>
    </w:rPr>
  </w:style>
  <w:style w:type="paragraph" w:styleId="6">
    <w:name w:val="heading 4"/>
    <w:basedOn w:val="3"/>
    <w:next w:val="1"/>
    <w:link w:val="35"/>
    <w:unhideWhenUsed/>
    <w:qFormat/>
    <w:uiPriority w:val="0"/>
    <w:pPr>
      <w:numPr>
        <w:ilvl w:val="3"/>
      </w:numPr>
      <w:tabs>
        <w:tab w:val="left" w:pos="420"/>
      </w:tabs>
      <w:spacing w:before="25" w:beforeLines="25" w:after="25" w:afterLines="25"/>
      <w:jc w:val="both"/>
      <w:outlineLvl w:val="3"/>
    </w:pPr>
    <w:rPr>
      <w:rFonts w:ascii="Times New Roman" w:hAnsi="Times New Roman"/>
      <w:sz w:val="30"/>
      <w:szCs w:val="24"/>
    </w:rPr>
  </w:style>
  <w:style w:type="paragraph" w:styleId="7">
    <w:name w:val="heading 5"/>
    <w:basedOn w:val="1"/>
    <w:next w:val="1"/>
    <w:link w:val="36"/>
    <w:unhideWhenUsed/>
    <w:qFormat/>
    <w:uiPriority w:val="0"/>
    <w:pPr>
      <w:numPr>
        <w:ilvl w:val="4"/>
        <w:numId w:val="1"/>
      </w:numPr>
      <w:spacing w:before="5" w:after="5"/>
      <w:jc w:val="left"/>
      <w:outlineLvl w:val="4"/>
    </w:pPr>
    <w:rPr>
      <w:rFonts w:ascii="Times New Roman" w:hAnsi="Times New Roman" w:eastAsia="黑体"/>
      <w:sz w:val="30"/>
      <w:lang w:eastAsia="en-US"/>
    </w:rPr>
  </w:style>
  <w:style w:type="paragraph" w:styleId="8">
    <w:name w:val="heading 6"/>
    <w:basedOn w:val="1"/>
    <w:next w:val="1"/>
    <w:link w:val="25"/>
    <w:unhideWhenUsed/>
    <w:qFormat/>
    <w:uiPriority w:val="0"/>
    <w:pPr>
      <w:numPr>
        <w:ilvl w:val="5"/>
        <w:numId w:val="1"/>
      </w:numPr>
      <w:jc w:val="left"/>
      <w:outlineLvl w:val="5"/>
    </w:pPr>
    <w:rPr>
      <w:rFonts w:ascii="Times New Roman" w:hAnsi="Times New Roman" w:eastAsia="黑体"/>
      <w:sz w:val="30"/>
      <w:lang w:eastAsia="en-US"/>
    </w:rPr>
  </w:style>
  <w:style w:type="paragraph" w:styleId="9">
    <w:name w:val="heading 7"/>
    <w:basedOn w:val="1"/>
    <w:next w:val="1"/>
    <w:link w:val="27"/>
    <w:unhideWhenUsed/>
    <w:qFormat/>
    <w:uiPriority w:val="0"/>
    <w:pPr>
      <w:numPr>
        <w:ilvl w:val="6"/>
        <w:numId w:val="1"/>
      </w:numPr>
      <w:jc w:val="left"/>
      <w:outlineLvl w:val="6"/>
    </w:pPr>
    <w:rPr>
      <w:rFonts w:ascii="楷体" w:hAnsi="楷体" w:eastAsia="黑体"/>
      <w:sz w:val="28"/>
      <w:lang w:eastAsia="en-US"/>
    </w:rPr>
  </w:style>
  <w:style w:type="paragraph" w:styleId="10">
    <w:name w:val="heading 8"/>
    <w:basedOn w:val="1"/>
    <w:next w:val="1"/>
    <w:link w:val="26"/>
    <w:semiHidden/>
    <w:unhideWhenUsed/>
    <w:qFormat/>
    <w:uiPriority w:val="0"/>
    <w:pPr>
      <w:numPr>
        <w:ilvl w:val="7"/>
        <w:numId w:val="1"/>
      </w:numPr>
      <w:spacing w:before="240" w:after="60"/>
      <w:outlineLvl w:val="7"/>
    </w:pPr>
    <w:rPr>
      <w:rFonts w:ascii="楷体" w:hAnsi="楷体" w:eastAsia="楷体"/>
      <w:sz w:val="28"/>
      <w:szCs w:val="24"/>
      <w:lang w:eastAsia="en-US"/>
    </w:rPr>
  </w:style>
  <w:style w:type="paragraph" w:styleId="11">
    <w:name w:val="heading 9"/>
    <w:basedOn w:val="1"/>
    <w:next w:val="1"/>
    <w:link w:val="31"/>
    <w:semiHidden/>
    <w:unhideWhenUsed/>
    <w:qFormat/>
    <w:uiPriority w:val="0"/>
    <w:pPr>
      <w:numPr>
        <w:ilvl w:val="8"/>
        <w:numId w:val="1"/>
      </w:numPr>
      <w:outlineLvl w:val="8"/>
    </w:pPr>
    <w:rPr>
      <w:rFonts w:ascii="楷体" w:hAnsi="楷体" w:eastAsia="黑体"/>
      <w:sz w:val="28"/>
      <w:szCs w:val="24"/>
      <w:lang w:eastAsia="en-US"/>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7"/>
    <w:qFormat/>
    <w:uiPriority w:val="0"/>
  </w:style>
  <w:style w:type="paragraph" w:styleId="12">
    <w:name w:val="Normal Indent"/>
    <w:basedOn w:val="1"/>
    <w:qFormat/>
    <w:uiPriority w:val="0"/>
    <w:pPr>
      <w:ind w:firstLine="420" w:firstLineChars="200"/>
    </w:pPr>
  </w:style>
  <w:style w:type="paragraph" w:styleId="13">
    <w:name w:val="caption"/>
    <w:basedOn w:val="1"/>
    <w:next w:val="1"/>
    <w:link w:val="40"/>
    <w:semiHidden/>
    <w:unhideWhenUsed/>
    <w:qFormat/>
    <w:uiPriority w:val="0"/>
    <w:pPr>
      <w:jc w:val="center"/>
    </w:pPr>
  </w:style>
  <w:style w:type="paragraph" w:styleId="14">
    <w:name w:val="Body Text Indent"/>
    <w:basedOn w:val="1"/>
    <w:next w:val="1"/>
    <w:link w:val="28"/>
    <w:qFormat/>
    <w:uiPriority w:val="0"/>
    <w:pPr>
      <w:spacing w:after="120"/>
      <w:ind w:left="420" w:leftChars="200"/>
    </w:pPr>
  </w:style>
  <w:style w:type="paragraph" w:styleId="15">
    <w:name w:val="footer"/>
    <w:basedOn w:val="1"/>
    <w:unhideWhenUsed/>
    <w:qFormat/>
    <w:uiPriority w:val="99"/>
    <w:pPr>
      <w:tabs>
        <w:tab w:val="center" w:pos="4153"/>
        <w:tab w:val="right" w:pos="8306"/>
      </w:tabs>
      <w:snapToGrid w:val="0"/>
      <w:jc w:val="left"/>
    </w:pPr>
    <w:rPr>
      <w:sz w:val="18"/>
      <w:szCs w:val="18"/>
    </w:rPr>
  </w:style>
  <w:style w:type="paragraph" w:styleId="16">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pPr>
      <w:widowControl/>
      <w:spacing w:after="100" w:line="240" w:lineRule="auto"/>
      <w:jc w:val="left"/>
    </w:pPr>
    <w:rPr>
      <w:kern w:val="0"/>
      <w:szCs w:val="22"/>
    </w:rPr>
  </w:style>
  <w:style w:type="paragraph" w:styleId="18">
    <w:name w:val="table of figures"/>
    <w:basedOn w:val="1"/>
    <w:next w:val="1"/>
    <w:qFormat/>
    <w:uiPriority w:val="0"/>
    <w:pPr>
      <w:tabs>
        <w:tab w:val="right" w:leader="dot" w:pos="8296"/>
      </w:tabs>
      <w:spacing w:line="240" w:lineRule="auto"/>
      <w:ind w:left="981" w:hanging="981"/>
    </w:pPr>
    <w:rPr>
      <w:szCs w:val="20"/>
    </w:rPr>
  </w:style>
  <w:style w:type="paragraph" w:styleId="19">
    <w:name w:val="toc 2"/>
    <w:basedOn w:val="1"/>
    <w:next w:val="1"/>
    <w:qFormat/>
    <w:uiPriority w:val="0"/>
    <w:pPr>
      <w:widowControl/>
      <w:spacing w:after="100" w:line="259" w:lineRule="auto"/>
      <w:ind w:left="220"/>
      <w:jc w:val="left"/>
    </w:pPr>
    <w:rPr>
      <w:rFonts w:ascii="Times New Roman" w:hAnsi="Times New Roman" w:eastAsiaTheme="minorEastAsia"/>
      <w:kern w:val="0"/>
      <w:sz w:val="22"/>
      <w:szCs w:val="22"/>
    </w:rPr>
  </w:style>
  <w:style w:type="paragraph" w:styleId="20">
    <w:name w:val="Body Text First Indent"/>
    <w:basedOn w:val="2"/>
    <w:qFormat/>
    <w:uiPriority w:val="0"/>
    <w:rPr>
      <w:rFonts w:asciiTheme="minorHAnsi" w:hAnsiTheme="minorHAnsi" w:cstheme="minorBidi"/>
      <w:szCs w:val="22"/>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annotation reference"/>
    <w:basedOn w:val="23"/>
    <w:qFormat/>
    <w:uiPriority w:val="0"/>
    <w:rPr>
      <w:rFonts w:ascii="Times New Roman" w:hAnsi="Times New Roman" w:eastAsia="宋体"/>
      <w:sz w:val="24"/>
      <w:szCs w:val="21"/>
    </w:rPr>
  </w:style>
  <w:style w:type="character" w:customStyle="1" w:styleId="25">
    <w:name w:val="标题 6 Char"/>
    <w:basedOn w:val="23"/>
    <w:link w:val="8"/>
    <w:qFormat/>
    <w:uiPriority w:val="0"/>
    <w:rPr>
      <w:rFonts w:ascii="Times New Roman" w:hAnsi="Times New Roman" w:eastAsia="黑体" w:cs="Times New Roman"/>
      <w:sz w:val="30"/>
      <w:szCs w:val="21"/>
      <w:lang w:eastAsia="en-US"/>
    </w:rPr>
  </w:style>
  <w:style w:type="character" w:customStyle="1" w:styleId="26">
    <w:name w:val="标题 8 Char"/>
    <w:basedOn w:val="23"/>
    <w:link w:val="10"/>
    <w:qFormat/>
    <w:uiPriority w:val="0"/>
    <w:rPr>
      <w:rFonts w:ascii="楷体" w:hAnsi="楷体" w:eastAsia="楷体" w:cs="Times New Roman"/>
      <w:sz w:val="28"/>
      <w:szCs w:val="24"/>
      <w:lang w:eastAsia="en-US"/>
    </w:rPr>
  </w:style>
  <w:style w:type="character" w:customStyle="1" w:styleId="27">
    <w:name w:val="标题 7 Char"/>
    <w:basedOn w:val="23"/>
    <w:link w:val="9"/>
    <w:qFormat/>
    <w:uiPriority w:val="0"/>
    <w:rPr>
      <w:rFonts w:ascii="楷体" w:hAnsi="楷体" w:eastAsia="黑体" w:cs="Times New Roman"/>
      <w:sz w:val="28"/>
      <w:szCs w:val="21"/>
      <w:lang w:eastAsia="en-US"/>
    </w:rPr>
  </w:style>
  <w:style w:type="character" w:customStyle="1" w:styleId="28">
    <w:name w:val="正文文本缩进 Char"/>
    <w:basedOn w:val="23"/>
    <w:link w:val="14"/>
    <w:semiHidden/>
    <w:qFormat/>
    <w:uiPriority w:val="99"/>
    <w:rPr>
      <w:rFonts w:ascii="宋体" w:hAnsi="宋体" w:eastAsia="宋体" w:cs="Times New Roman"/>
      <w:kern w:val="2"/>
      <w:szCs w:val="21"/>
      <w:lang w:bidi="ar-SA"/>
    </w:rPr>
  </w:style>
  <w:style w:type="paragraph" w:customStyle="1" w:styleId="29">
    <w:name w:val="方案正文"/>
    <w:basedOn w:val="1"/>
    <w:next w:val="1"/>
    <w:link w:val="30"/>
    <w:qFormat/>
    <w:uiPriority w:val="0"/>
    <w:pPr>
      <w:widowControl/>
      <w:adjustRightInd w:val="0"/>
      <w:snapToGrid w:val="0"/>
      <w:ind w:firstLine="480" w:firstLineChars="200"/>
      <w:jc w:val="left"/>
    </w:pPr>
    <w:rPr>
      <w:rFonts w:ascii="Times New Roman" w:hAnsi="Times New Roman" w:eastAsia="仿宋_GB2312" w:cs="宋体"/>
      <w:color w:val="000000"/>
      <w:kern w:val="0"/>
      <w:szCs w:val="24"/>
    </w:rPr>
  </w:style>
  <w:style w:type="character" w:customStyle="1" w:styleId="30">
    <w:name w:val="方案正文 Char"/>
    <w:link w:val="29"/>
    <w:qFormat/>
    <w:uiPriority w:val="0"/>
    <w:rPr>
      <w:rFonts w:ascii="Times New Roman" w:hAnsi="Times New Roman" w:eastAsia="仿宋_GB2312" w:cs="宋体"/>
      <w:color w:val="000000"/>
      <w:sz w:val="24"/>
      <w:szCs w:val="24"/>
    </w:rPr>
  </w:style>
  <w:style w:type="character" w:customStyle="1" w:styleId="31">
    <w:name w:val="标题 9 Char"/>
    <w:basedOn w:val="23"/>
    <w:link w:val="11"/>
    <w:qFormat/>
    <w:uiPriority w:val="0"/>
    <w:rPr>
      <w:rFonts w:ascii="楷体" w:hAnsi="楷体" w:eastAsia="黑体" w:cs="Times New Roman"/>
      <w:sz w:val="28"/>
      <w:szCs w:val="24"/>
      <w:lang w:eastAsia="en-US"/>
    </w:rPr>
  </w:style>
  <w:style w:type="character" w:customStyle="1" w:styleId="32">
    <w:name w:val="标题 1 Char"/>
    <w:basedOn w:val="23"/>
    <w:link w:val="3"/>
    <w:qFormat/>
    <w:uiPriority w:val="9"/>
    <w:rPr>
      <w:rFonts w:ascii="Times New Roman" w:hAnsi="Times New Roman" w:eastAsia="黑体" w:cs="Times New Roman"/>
      <w:b/>
      <w:bCs/>
      <w:kern w:val="44"/>
      <w:sz w:val="32"/>
      <w:szCs w:val="44"/>
    </w:rPr>
  </w:style>
  <w:style w:type="character" w:customStyle="1" w:styleId="33">
    <w:name w:val="标题 2 Char"/>
    <w:basedOn w:val="23"/>
    <w:link w:val="4"/>
    <w:qFormat/>
    <w:uiPriority w:val="9"/>
    <w:rPr>
      <w:rFonts w:ascii="Times New Roman" w:hAnsi="Times New Roman" w:eastAsia="黑体" w:cs="Times New Roman"/>
      <w:color w:val="000000"/>
      <w:kern w:val="0"/>
      <w:sz w:val="32"/>
      <w:szCs w:val="21"/>
      <w:lang w:bidi="ar-SA"/>
    </w:rPr>
  </w:style>
  <w:style w:type="character" w:customStyle="1" w:styleId="34">
    <w:name w:val="标题 3 Char"/>
    <w:basedOn w:val="23"/>
    <w:link w:val="5"/>
    <w:qFormat/>
    <w:uiPriority w:val="9"/>
    <w:rPr>
      <w:rFonts w:ascii="Times New Roman" w:hAnsi="Times New Roman" w:eastAsia="黑体" w:cs="PingFang TC"/>
      <w:color w:val="000000"/>
      <w:kern w:val="2"/>
      <w:sz w:val="32"/>
      <w:szCs w:val="21"/>
    </w:rPr>
  </w:style>
  <w:style w:type="character" w:customStyle="1" w:styleId="35">
    <w:name w:val="标题 4 Char"/>
    <w:basedOn w:val="23"/>
    <w:link w:val="6"/>
    <w:qFormat/>
    <w:uiPriority w:val="0"/>
    <w:rPr>
      <w:rFonts w:ascii="Times New Roman" w:hAnsi="Times New Roman" w:eastAsia="黑体" w:cs="Times New Roman"/>
      <w:b/>
      <w:bCs/>
      <w:color w:val="000000"/>
      <w:kern w:val="2"/>
      <w:sz w:val="32"/>
      <w:szCs w:val="44"/>
    </w:rPr>
  </w:style>
  <w:style w:type="character" w:customStyle="1" w:styleId="36">
    <w:name w:val="标题 5 Char"/>
    <w:basedOn w:val="23"/>
    <w:link w:val="7"/>
    <w:qFormat/>
    <w:uiPriority w:val="0"/>
    <w:rPr>
      <w:rFonts w:ascii="Times New Roman" w:hAnsi="Times New Roman" w:eastAsia="宋体"/>
      <w:b/>
      <w:bCs/>
      <w:kern w:val="2"/>
      <w:sz w:val="28"/>
      <w:szCs w:val="28"/>
    </w:rPr>
  </w:style>
  <w:style w:type="character" w:customStyle="1" w:styleId="37">
    <w:name w:val="正文文本 Char"/>
    <w:basedOn w:val="23"/>
    <w:link w:val="2"/>
    <w:qFormat/>
    <w:uiPriority w:val="99"/>
    <w:rPr>
      <w:rFonts w:ascii="宋体" w:hAnsi="宋体" w:eastAsia="宋体" w:cs="宋体"/>
      <w:sz w:val="24"/>
      <w:szCs w:val="24"/>
      <w:lang w:val="en-US" w:eastAsia="zh-CN" w:bidi="ar-SA"/>
    </w:rPr>
  </w:style>
  <w:style w:type="paragraph" w:customStyle="1" w:styleId="38">
    <w:name w:val="标准正文"/>
    <w:basedOn w:val="1"/>
    <w:next w:val="1"/>
    <w:link w:val="39"/>
    <w:qFormat/>
    <w:uiPriority w:val="0"/>
    <w:pPr>
      <w:spacing w:before="156" w:after="156"/>
      <w:ind w:firstLine="480"/>
    </w:pPr>
    <w:rPr>
      <w:rFonts w:ascii="Times New Roman" w:hAnsi="Times New Roman" w:cs="宋体"/>
      <w:szCs w:val="20"/>
    </w:rPr>
  </w:style>
  <w:style w:type="character" w:customStyle="1" w:styleId="39">
    <w:name w:val="标准正文 Char"/>
    <w:link w:val="38"/>
    <w:qFormat/>
    <w:uiPriority w:val="0"/>
    <w:rPr>
      <w:rFonts w:ascii="Times New Roman" w:hAnsi="Times New Roman" w:eastAsia="宋体" w:cs="宋体"/>
      <w:sz w:val="24"/>
      <w:szCs w:val="20"/>
    </w:rPr>
  </w:style>
  <w:style w:type="character" w:customStyle="1" w:styleId="40">
    <w:name w:val="题注 Char"/>
    <w:link w:val="13"/>
    <w:qFormat/>
    <w:uiPriority w:val="35"/>
    <w:rPr>
      <w:rFonts w:ascii="宋体" w:hAnsi="宋体" w:eastAsia="宋体" w:cs="Times New Roman"/>
      <w:sz w:val="24"/>
      <w:szCs w:val="21"/>
    </w:rPr>
  </w:style>
  <w:style w:type="paragraph" w:styleId="41">
    <w:name w:val="List Paragraph"/>
    <w:basedOn w:val="1"/>
    <w:qFormat/>
    <w:uiPriority w:val="34"/>
    <w:pPr>
      <w:spacing w:line="240" w:lineRule="auto"/>
      <w:ind w:firstLine="200" w:firstLineChars="200"/>
    </w:pPr>
    <w:rPr>
      <w:rFonts w:eastAsiaTheme="minorEastAsia"/>
      <w:sz w:val="21"/>
      <w:szCs w:val="22"/>
    </w:rPr>
  </w:style>
  <w:style w:type="paragraph" w:customStyle="1" w:styleId="42">
    <w:name w:val="！正文"/>
    <w:basedOn w:val="1"/>
    <w:qFormat/>
    <w:uiPriority w:val="0"/>
    <w:pPr>
      <w:widowControl/>
      <w:autoSpaceDE w:val="0"/>
      <w:autoSpaceDN w:val="0"/>
      <w:adjustRightInd w:val="0"/>
      <w:spacing w:before="50" w:beforeLines="50" w:after="50" w:afterLines="50"/>
      <w:ind w:firstLine="200" w:firstLineChars="200"/>
    </w:pPr>
    <w:rPr>
      <w:rFonts w:eastAsiaTheme="minorEastAsia"/>
      <w:kern w:val="0"/>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3428</Words>
  <Characters>3618</Characters>
  <Lines>30</Lines>
  <Paragraphs>8</Paragraphs>
  <TotalTime>1</TotalTime>
  <ScaleCrop>false</ScaleCrop>
  <LinksUpToDate>false</LinksUpToDate>
  <CharactersWithSpaces>3635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2020-12-01T09:11:00Z</dcterms:created>
  <dc:creator>Admin</dc:creator>
  <cp:lastModifiedBy>Yang</cp:lastModifiedBy>
  <dcterms:modified xsi:type="dcterms:W3CDTF">2022-05-18T08:36:27Z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C6EFEB6F12B5400C828B05FEDA58C42F</vt:lpwstr>
  </property>
</Properties>
</file>