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240" w:lineRule="auto"/>
        <w:jc w:val="center"/>
        <w:rPr>
          <w:rFonts w:ascii="宋体" w:hAnsi="宋体" w:cs="方正大标宋简体"/>
          <w:b/>
          <w:sz w:val="44"/>
          <w:szCs w:val="44"/>
        </w:rPr>
      </w:pPr>
      <w:r>
        <w:rPr>
          <w:rFonts w:hint="eastAsia" w:ascii="宋体" w:hAnsi="宋体" w:cs="方正大标宋简体"/>
          <w:b/>
          <w:sz w:val="44"/>
          <w:szCs w:val="44"/>
        </w:rPr>
        <w:t>江门市蓬江区上网行为管理器设备</w:t>
      </w:r>
    </w:p>
    <w:p>
      <w:pPr>
        <w:snapToGrid w:val="0"/>
        <w:spacing w:line="240" w:lineRule="auto"/>
        <w:jc w:val="center"/>
        <w:rPr>
          <w:rFonts w:ascii="宋体" w:hAnsi="宋体" w:cs="方正大标宋简体"/>
          <w:b/>
          <w:sz w:val="44"/>
          <w:szCs w:val="44"/>
        </w:rPr>
      </w:pPr>
      <w:r>
        <w:rPr>
          <w:rFonts w:hint="eastAsia" w:ascii="宋体" w:hAnsi="宋体" w:cs="方正大标宋简体"/>
          <w:b/>
          <w:sz w:val="44"/>
          <w:szCs w:val="44"/>
        </w:rPr>
        <w:t>采购需求</w:t>
      </w:r>
    </w:p>
    <w:p>
      <w:pPr>
        <w:jc w:val="center"/>
        <w:rPr>
          <w:rFonts w:ascii="宋体" w:hAnsi="宋体" w:cs="方正大标宋简体"/>
          <w:bCs/>
          <w:sz w:val="32"/>
          <w:szCs w:val="32"/>
        </w:rPr>
      </w:pPr>
    </w:p>
    <w:p>
      <w:pPr>
        <w:pStyle w:val="3"/>
        <w:numPr>
          <w:ilvl w:val="0"/>
          <w:numId w:val="3"/>
        </w:numPr>
        <w:spacing w:before="0" w:after="0"/>
        <w:jc w:val="left"/>
        <w:rPr>
          <w:rFonts w:ascii="黑体" w:hAnsi="黑体" w:eastAsia="黑体" w:cs="仿宋"/>
          <w:bCs/>
          <w:kern w:val="0"/>
          <w:sz w:val="32"/>
          <w:szCs w:val="32"/>
          <w:lang w:val="zh-CN"/>
        </w:rPr>
      </w:pPr>
      <w:r>
        <w:rPr>
          <w:rFonts w:hint="eastAsia" w:ascii="黑体" w:hAnsi="黑体" w:eastAsia="黑体" w:cs="黑体"/>
          <w:bCs/>
          <w:kern w:val="0"/>
          <w:sz w:val="32"/>
          <w:szCs w:val="32"/>
          <w:lang w:val="zh-CN"/>
        </w:rPr>
        <w:t>项目概述</w:t>
      </w:r>
      <w:r>
        <w:rPr>
          <w:rFonts w:hint="eastAsia" w:ascii="黑体" w:hAnsi="黑体" w:eastAsia="黑体" w:cs="仿宋"/>
          <w:bCs/>
          <w:kern w:val="0"/>
          <w:sz w:val="32"/>
          <w:szCs w:val="32"/>
          <w:lang w:val="zh-CN"/>
        </w:rPr>
        <w:t>：</w:t>
      </w:r>
    </w:p>
    <w:p>
      <w:pPr>
        <w:pStyle w:val="4"/>
        <w:spacing w:before="156" w:beforeLines="50" w:after="156" w:afterLines="50"/>
        <w:ind w:left="0" w:firstLine="198"/>
        <w:rPr>
          <w:rFonts w:ascii="宋体" w:hAnsi="宋体" w:eastAsia="宋体"/>
          <w:sz w:val="24"/>
          <w:szCs w:val="24"/>
        </w:rPr>
      </w:pPr>
      <w:r>
        <w:rPr>
          <w:rFonts w:hint="eastAsia" w:ascii="宋体" w:hAnsi="宋体" w:eastAsia="宋体"/>
          <w:sz w:val="24"/>
          <w:szCs w:val="24"/>
        </w:rPr>
        <w:t>项目名称和</w:t>
      </w:r>
      <w:r>
        <w:rPr>
          <w:rFonts w:hint="eastAsia" w:ascii="宋体" w:hAnsi="宋体" w:eastAsia="宋体"/>
          <w:sz w:val="24"/>
          <w:szCs w:val="24"/>
          <w:lang w:eastAsia="zh-CN"/>
        </w:rPr>
        <w:t>预算</w:t>
      </w:r>
    </w:p>
    <w:p>
      <w:pPr>
        <w:ind w:firstLine="440" w:firstLineChars="200"/>
        <w:rPr>
          <w:rFonts w:ascii="宋体" w:hAnsi="宋体"/>
          <w:sz w:val="22"/>
          <w:szCs w:val="22"/>
        </w:rPr>
      </w:pPr>
      <w:r>
        <w:rPr>
          <w:rFonts w:hint="eastAsia" w:ascii="宋体" w:hAnsi="宋体"/>
          <w:sz w:val="22"/>
          <w:szCs w:val="22"/>
        </w:rPr>
        <w:t>项目名称：江门市蓬江区上网行为管理器设备采购项目</w:t>
      </w:r>
      <w:bookmarkStart w:id="0" w:name="_GoBack"/>
      <w:bookmarkEnd w:id="0"/>
    </w:p>
    <w:p>
      <w:pPr>
        <w:ind w:firstLine="440" w:firstLineChars="200"/>
        <w:rPr>
          <w:rFonts w:ascii="宋体" w:hAnsi="宋体"/>
          <w:sz w:val="22"/>
          <w:szCs w:val="22"/>
        </w:rPr>
      </w:pPr>
      <w:r>
        <w:rPr>
          <w:rFonts w:hint="eastAsia" w:ascii="宋体" w:hAnsi="宋体"/>
          <w:sz w:val="22"/>
          <w:szCs w:val="22"/>
        </w:rPr>
        <w:t>预算金额：人民币315</w:t>
      </w:r>
      <w:r>
        <w:rPr>
          <w:rFonts w:ascii="宋体" w:hAnsi="宋体"/>
          <w:sz w:val="22"/>
          <w:szCs w:val="22"/>
        </w:rPr>
        <w:t>,</w:t>
      </w:r>
      <w:r>
        <w:rPr>
          <w:rFonts w:hint="eastAsia" w:ascii="宋体" w:hAnsi="宋体"/>
          <w:sz w:val="22"/>
          <w:szCs w:val="22"/>
        </w:rPr>
        <w:t>0</w:t>
      </w:r>
      <w:r>
        <w:rPr>
          <w:rFonts w:ascii="宋体" w:hAnsi="宋体"/>
          <w:sz w:val="22"/>
          <w:szCs w:val="22"/>
        </w:rPr>
        <w:t>00.00</w:t>
      </w:r>
      <w:r>
        <w:rPr>
          <w:rFonts w:hint="eastAsia" w:ascii="宋体" w:hAnsi="宋体"/>
          <w:sz w:val="22"/>
          <w:szCs w:val="22"/>
        </w:rPr>
        <w:t>元</w:t>
      </w:r>
      <w:r>
        <w:rPr>
          <w:rFonts w:hint="eastAsia" w:ascii="宋体" w:hAnsi="宋体"/>
          <w:sz w:val="22"/>
          <w:szCs w:val="22"/>
          <w:lang w:eastAsia="zh-CN"/>
        </w:rPr>
        <w:t>（叁拾壹万伍仟元整）</w:t>
      </w:r>
      <w:r>
        <w:rPr>
          <w:rFonts w:hint="eastAsia" w:ascii="宋体" w:hAnsi="宋体" w:cs="宋体"/>
        </w:rPr>
        <w:t>。</w:t>
      </w:r>
    </w:p>
    <w:p>
      <w:pPr>
        <w:pStyle w:val="4"/>
        <w:spacing w:before="156" w:beforeLines="50" w:after="156" w:afterLines="50"/>
        <w:ind w:left="0" w:firstLine="198"/>
        <w:rPr>
          <w:rFonts w:ascii="宋体" w:hAnsi="宋体" w:eastAsia="宋体"/>
          <w:sz w:val="24"/>
          <w:szCs w:val="24"/>
        </w:rPr>
      </w:pPr>
      <w:r>
        <w:rPr>
          <w:rFonts w:ascii="宋体" w:hAnsi="宋体" w:eastAsia="宋体"/>
          <w:sz w:val="24"/>
          <w:szCs w:val="24"/>
        </w:rPr>
        <w:t>内容及包组情况（技术规格、参数及要求）</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1549"/>
        <w:gridCol w:w="2838"/>
        <w:gridCol w:w="993"/>
        <w:gridCol w:w="1135"/>
        <w:gridCol w:w="2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490" w:type="pct"/>
            <w:vAlign w:val="center"/>
          </w:tcPr>
          <w:p>
            <w:pPr>
              <w:pStyle w:val="13"/>
              <w:spacing w:line="360" w:lineRule="auto"/>
              <w:jc w:val="center"/>
              <w:rPr>
                <w:rFonts w:hAnsi="宋体"/>
                <w:b/>
                <w:sz w:val="22"/>
                <w:szCs w:val="22"/>
              </w:rPr>
            </w:pPr>
            <w:r>
              <w:rPr>
                <w:rFonts w:hAnsi="宋体"/>
                <w:b/>
                <w:sz w:val="22"/>
                <w:szCs w:val="22"/>
              </w:rPr>
              <w:t>品目号</w:t>
            </w:r>
          </w:p>
        </w:tc>
        <w:tc>
          <w:tcPr>
            <w:tcW w:w="786" w:type="pct"/>
            <w:vAlign w:val="center"/>
          </w:tcPr>
          <w:p>
            <w:pPr>
              <w:pStyle w:val="13"/>
              <w:spacing w:line="360" w:lineRule="auto"/>
              <w:jc w:val="center"/>
              <w:rPr>
                <w:rFonts w:hAnsi="宋体"/>
                <w:b/>
                <w:sz w:val="22"/>
                <w:szCs w:val="22"/>
              </w:rPr>
            </w:pPr>
            <w:r>
              <w:rPr>
                <w:rFonts w:hAnsi="宋体"/>
                <w:b/>
                <w:sz w:val="22"/>
                <w:szCs w:val="22"/>
              </w:rPr>
              <w:t>品目名称</w:t>
            </w:r>
          </w:p>
        </w:tc>
        <w:tc>
          <w:tcPr>
            <w:tcW w:w="1440" w:type="pct"/>
            <w:vAlign w:val="center"/>
          </w:tcPr>
          <w:p>
            <w:pPr>
              <w:pStyle w:val="13"/>
              <w:spacing w:line="360" w:lineRule="auto"/>
              <w:jc w:val="center"/>
              <w:rPr>
                <w:rFonts w:hAnsi="宋体"/>
                <w:b/>
                <w:sz w:val="22"/>
                <w:szCs w:val="22"/>
              </w:rPr>
            </w:pPr>
            <w:r>
              <w:rPr>
                <w:rFonts w:hAnsi="宋体"/>
                <w:b/>
                <w:sz w:val="22"/>
                <w:szCs w:val="22"/>
              </w:rPr>
              <w:t>采购标的</w:t>
            </w:r>
          </w:p>
        </w:tc>
        <w:tc>
          <w:tcPr>
            <w:tcW w:w="504" w:type="pct"/>
            <w:vAlign w:val="center"/>
          </w:tcPr>
          <w:p>
            <w:pPr>
              <w:pStyle w:val="13"/>
              <w:spacing w:line="360" w:lineRule="auto"/>
              <w:jc w:val="center"/>
              <w:rPr>
                <w:rFonts w:hAnsi="宋体"/>
                <w:b/>
                <w:sz w:val="22"/>
                <w:szCs w:val="22"/>
              </w:rPr>
            </w:pPr>
            <w:r>
              <w:rPr>
                <w:rFonts w:hAnsi="宋体"/>
                <w:b/>
                <w:sz w:val="22"/>
                <w:szCs w:val="22"/>
              </w:rPr>
              <w:t>数量</w:t>
            </w:r>
          </w:p>
        </w:tc>
        <w:tc>
          <w:tcPr>
            <w:tcW w:w="576" w:type="pct"/>
            <w:vAlign w:val="center"/>
          </w:tcPr>
          <w:p>
            <w:pPr>
              <w:pStyle w:val="13"/>
              <w:spacing w:line="360" w:lineRule="auto"/>
              <w:jc w:val="center"/>
              <w:rPr>
                <w:rFonts w:hAnsi="宋体"/>
                <w:b/>
                <w:sz w:val="22"/>
                <w:szCs w:val="22"/>
              </w:rPr>
            </w:pPr>
            <w:r>
              <w:rPr>
                <w:rFonts w:hint="eastAsia" w:hAnsi="宋体"/>
                <w:b/>
                <w:sz w:val="22"/>
                <w:szCs w:val="22"/>
              </w:rPr>
              <w:t>项目</w:t>
            </w:r>
            <w:r>
              <w:rPr>
                <w:rFonts w:hAnsi="宋体"/>
                <w:b/>
                <w:sz w:val="22"/>
                <w:szCs w:val="22"/>
              </w:rPr>
              <w:t>内容</w:t>
            </w:r>
          </w:p>
        </w:tc>
        <w:tc>
          <w:tcPr>
            <w:tcW w:w="1204" w:type="pct"/>
            <w:vAlign w:val="center"/>
          </w:tcPr>
          <w:p>
            <w:pPr>
              <w:pStyle w:val="13"/>
              <w:spacing w:line="360" w:lineRule="auto"/>
              <w:jc w:val="center"/>
              <w:rPr>
                <w:rFonts w:hAnsi="宋体"/>
                <w:b/>
                <w:sz w:val="22"/>
                <w:szCs w:val="22"/>
              </w:rPr>
            </w:pPr>
            <w:r>
              <w:rPr>
                <w:rFonts w:hint="eastAsia" w:hAnsi="宋体"/>
                <w:b/>
                <w:sz w:val="22"/>
                <w:szCs w:val="22"/>
              </w:rPr>
              <w:t>服务期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 w:type="pct"/>
            <w:vAlign w:val="center"/>
          </w:tcPr>
          <w:p>
            <w:pPr>
              <w:pStyle w:val="13"/>
              <w:spacing w:line="360" w:lineRule="auto"/>
              <w:jc w:val="center"/>
              <w:rPr>
                <w:rFonts w:hAnsi="宋体"/>
                <w:sz w:val="22"/>
                <w:szCs w:val="22"/>
              </w:rPr>
            </w:pPr>
            <w:r>
              <w:rPr>
                <w:rFonts w:hAnsi="宋体"/>
                <w:sz w:val="22"/>
                <w:szCs w:val="22"/>
              </w:rPr>
              <w:t>1</w:t>
            </w:r>
          </w:p>
        </w:tc>
        <w:tc>
          <w:tcPr>
            <w:tcW w:w="786" w:type="pct"/>
            <w:vAlign w:val="center"/>
          </w:tcPr>
          <w:p>
            <w:pPr>
              <w:pStyle w:val="13"/>
              <w:spacing w:line="360" w:lineRule="auto"/>
              <w:jc w:val="center"/>
              <w:rPr>
                <w:rFonts w:hAnsi="宋体"/>
                <w:sz w:val="22"/>
                <w:szCs w:val="22"/>
              </w:rPr>
            </w:pPr>
            <w:r>
              <w:rPr>
                <w:rFonts w:hint="eastAsia" w:hAnsi="宋体"/>
                <w:sz w:val="22"/>
                <w:szCs w:val="22"/>
              </w:rPr>
              <w:t>上网行为管理器</w:t>
            </w:r>
          </w:p>
        </w:tc>
        <w:tc>
          <w:tcPr>
            <w:tcW w:w="1440" w:type="pct"/>
            <w:vAlign w:val="center"/>
          </w:tcPr>
          <w:p>
            <w:pPr>
              <w:rPr>
                <w:rFonts w:ascii="宋体" w:hAnsi="宋体"/>
                <w:sz w:val="22"/>
                <w:szCs w:val="22"/>
              </w:rPr>
            </w:pPr>
            <w:r>
              <w:rPr>
                <w:rFonts w:hint="eastAsia" w:ascii="宋体" w:hAnsi="宋体"/>
                <w:sz w:val="22"/>
                <w:szCs w:val="22"/>
              </w:rPr>
              <w:t>江门市蓬江区上网行为管理器设备采购项目</w:t>
            </w:r>
          </w:p>
        </w:tc>
        <w:tc>
          <w:tcPr>
            <w:tcW w:w="504" w:type="pct"/>
            <w:vAlign w:val="center"/>
          </w:tcPr>
          <w:p>
            <w:pPr>
              <w:pStyle w:val="13"/>
              <w:spacing w:line="360" w:lineRule="auto"/>
              <w:jc w:val="center"/>
              <w:rPr>
                <w:rFonts w:hAnsi="宋体"/>
                <w:sz w:val="22"/>
                <w:szCs w:val="22"/>
              </w:rPr>
            </w:pPr>
            <w:r>
              <w:rPr>
                <w:rFonts w:hint="eastAsia" w:hAnsi="宋体"/>
                <w:sz w:val="22"/>
                <w:szCs w:val="22"/>
              </w:rPr>
              <w:t>1台</w:t>
            </w:r>
          </w:p>
        </w:tc>
        <w:tc>
          <w:tcPr>
            <w:tcW w:w="576" w:type="pct"/>
            <w:vAlign w:val="center"/>
          </w:tcPr>
          <w:p>
            <w:pPr>
              <w:pStyle w:val="13"/>
              <w:spacing w:line="360" w:lineRule="auto"/>
              <w:rPr>
                <w:rFonts w:hint="eastAsia" w:hAnsi="宋体" w:eastAsia="宋体"/>
                <w:sz w:val="22"/>
                <w:szCs w:val="22"/>
                <w:lang w:eastAsia="zh-CN"/>
              </w:rPr>
            </w:pPr>
            <w:r>
              <w:rPr>
                <w:rFonts w:hAnsi="宋体"/>
                <w:sz w:val="22"/>
                <w:szCs w:val="22"/>
              </w:rPr>
              <w:t>详见</w:t>
            </w:r>
            <w:r>
              <w:rPr>
                <w:rFonts w:hint="eastAsia" w:hAnsi="宋体"/>
                <w:sz w:val="22"/>
                <w:szCs w:val="22"/>
                <w:lang w:eastAsia="zh-CN"/>
              </w:rPr>
              <w:t>用户需求</w:t>
            </w:r>
          </w:p>
        </w:tc>
        <w:tc>
          <w:tcPr>
            <w:tcW w:w="1204" w:type="pct"/>
            <w:vAlign w:val="center"/>
          </w:tcPr>
          <w:p>
            <w:pPr>
              <w:pStyle w:val="13"/>
              <w:spacing w:line="360" w:lineRule="auto"/>
              <w:rPr>
                <w:rFonts w:hAnsi="宋体"/>
                <w:sz w:val="22"/>
                <w:szCs w:val="22"/>
              </w:rPr>
            </w:pPr>
            <w:r>
              <w:rPr>
                <w:rFonts w:hint="eastAsia" w:hAnsi="宋体"/>
                <w:sz w:val="22"/>
                <w:szCs w:val="22"/>
              </w:rPr>
              <w:t>叁年保修，以签订的合同约定条款执行。</w:t>
            </w:r>
          </w:p>
        </w:tc>
      </w:tr>
    </w:tbl>
    <w:p>
      <w:pPr>
        <w:pStyle w:val="3"/>
        <w:numPr>
          <w:ilvl w:val="0"/>
          <w:numId w:val="3"/>
        </w:numPr>
        <w:spacing w:before="0" w:after="0"/>
        <w:jc w:val="left"/>
        <w:rPr>
          <w:rFonts w:ascii="黑体" w:hAnsi="黑体" w:eastAsia="黑体" w:cs="黑体"/>
          <w:bCs/>
          <w:kern w:val="0"/>
          <w:sz w:val="32"/>
          <w:szCs w:val="32"/>
          <w:lang w:val="zh-CN"/>
        </w:rPr>
      </w:pPr>
      <w:r>
        <w:rPr>
          <w:rFonts w:hint="eastAsia" w:ascii="黑体" w:hAnsi="黑体" w:eastAsia="黑体" w:cs="黑体"/>
          <w:bCs/>
          <w:kern w:val="0"/>
          <w:sz w:val="32"/>
          <w:szCs w:val="32"/>
          <w:lang w:val="zh-CN"/>
        </w:rPr>
        <w:t>供应商资格要求</w:t>
      </w:r>
    </w:p>
    <w:p>
      <w:pPr>
        <w:pStyle w:val="4"/>
        <w:numPr>
          <w:ilvl w:val="1"/>
          <w:numId w:val="4"/>
        </w:numPr>
        <w:spacing w:before="0" w:after="0"/>
        <w:ind w:left="704"/>
        <w:rPr>
          <w:rFonts w:ascii="宋体" w:hAnsi="宋体" w:eastAsia="宋体"/>
          <w:b w:val="0"/>
          <w:bCs/>
          <w:sz w:val="24"/>
          <w:szCs w:val="24"/>
        </w:rPr>
      </w:pPr>
      <w:r>
        <w:rPr>
          <w:rFonts w:hint="eastAsia" w:ascii="宋体" w:hAnsi="宋体" w:eastAsia="宋体"/>
          <w:b w:val="0"/>
          <w:bCs/>
          <w:sz w:val="24"/>
          <w:szCs w:val="24"/>
        </w:rPr>
        <w:t>供应商应具备《政府采购法》第二十二条规定的条件，提供下列材料：</w:t>
      </w:r>
    </w:p>
    <w:p>
      <w:pPr>
        <w:pStyle w:val="22"/>
        <w:numPr>
          <w:ilvl w:val="0"/>
          <w:numId w:val="5"/>
        </w:numPr>
        <w:ind w:firstLineChars="0"/>
        <w:rPr>
          <w:rFonts w:ascii="宋体" w:hAnsi="宋体"/>
          <w:szCs w:val="24"/>
        </w:rPr>
      </w:pPr>
      <w:r>
        <w:rPr>
          <w:rFonts w:ascii="宋体" w:hAnsi="宋体"/>
          <w:szCs w:val="24"/>
        </w:rPr>
        <w:t>具有独立承担民事责任的能力：有效期内的工商营业执照(或事业单位法人证书，或社会团体法人登记证书)、组织机构代码证及税务登记证复印件（或“三证合一”营业执照复印件）。</w:t>
      </w:r>
    </w:p>
    <w:p>
      <w:pPr>
        <w:pStyle w:val="22"/>
        <w:numPr>
          <w:ilvl w:val="0"/>
          <w:numId w:val="5"/>
        </w:numPr>
        <w:ind w:firstLineChars="0"/>
        <w:rPr>
          <w:rFonts w:ascii="宋体" w:hAnsi="宋体"/>
          <w:szCs w:val="24"/>
        </w:rPr>
      </w:pPr>
      <w:r>
        <w:rPr>
          <w:rFonts w:ascii="宋体" w:hAnsi="宋体"/>
          <w:szCs w:val="24"/>
        </w:rPr>
        <w:t>有依法缴纳税收和社会保障资金的良好记录：投标截止日前</w:t>
      </w:r>
      <w:r>
        <w:rPr>
          <w:rFonts w:ascii="宋体" w:hAnsi="宋体"/>
          <w:spacing w:val="-3"/>
          <w:w w:val="110"/>
          <w:szCs w:val="24"/>
        </w:rPr>
        <w:t>6</w:t>
      </w:r>
      <w:r>
        <w:rPr>
          <w:rFonts w:ascii="宋体" w:hAnsi="宋体"/>
          <w:spacing w:val="-9"/>
          <w:szCs w:val="24"/>
        </w:rPr>
        <w:t>个月</w:t>
      </w:r>
      <w:r>
        <w:rPr>
          <w:rFonts w:ascii="宋体" w:hAnsi="宋体"/>
          <w:szCs w:val="24"/>
        </w:rPr>
        <w:t>内任意一个月的依法缴纳税收的证明文件复印件【缴纳税收的证明文件是指：加盖银行业务章的税收回单，或加盖税务部门电子征税专用章的税收电子转账专用完税证，或加盖税务部门公章的纳税证明；如供应商在规定的时间段内没有发生业务的，则提供税务部门出具的纳税证明，或加盖税务部门公章的纳税申报表】；投标截止日前</w:t>
      </w:r>
      <w:r>
        <w:rPr>
          <w:rFonts w:ascii="宋体" w:hAnsi="宋体"/>
          <w:spacing w:val="-3"/>
          <w:w w:val="110"/>
          <w:szCs w:val="24"/>
        </w:rPr>
        <w:t>6</w:t>
      </w:r>
      <w:r>
        <w:rPr>
          <w:rFonts w:ascii="宋体" w:hAnsi="宋体"/>
          <w:spacing w:val="-9"/>
          <w:szCs w:val="24"/>
        </w:rPr>
        <w:t>个月</w:t>
      </w:r>
      <w:r>
        <w:rPr>
          <w:rFonts w:ascii="宋体" w:hAnsi="宋体"/>
          <w:szCs w:val="24"/>
        </w:rPr>
        <w:t>内任意一个月社保部门（或税务部门）出具的单位参加社会保险的证明文件复印件，或合法有效的社保部门（或税务部门）网站的电子证明打印件【内容应包含单位名称、参保（或缴费）信息、电子印章和日期等】。</w:t>
      </w:r>
    </w:p>
    <w:p>
      <w:pPr>
        <w:pStyle w:val="22"/>
        <w:numPr>
          <w:ilvl w:val="0"/>
          <w:numId w:val="5"/>
        </w:numPr>
        <w:ind w:firstLineChars="0"/>
        <w:rPr>
          <w:rFonts w:ascii="宋体" w:hAnsi="宋体"/>
          <w:szCs w:val="24"/>
        </w:rPr>
      </w:pPr>
      <w:r>
        <w:rPr>
          <w:rFonts w:ascii="宋体" w:hAnsi="宋体"/>
          <w:szCs w:val="24"/>
        </w:rPr>
        <w:t>具有良好的商业信誉和健全的财务会计制度：2020年年度财务报表或投标截止日前</w:t>
      </w:r>
      <w:r>
        <w:rPr>
          <w:rFonts w:ascii="宋体" w:hAnsi="宋体"/>
          <w:spacing w:val="-3"/>
          <w:w w:val="110"/>
          <w:szCs w:val="24"/>
        </w:rPr>
        <w:t>6</w:t>
      </w:r>
      <w:r>
        <w:rPr>
          <w:rFonts w:ascii="宋体" w:hAnsi="宋体"/>
          <w:spacing w:val="-9"/>
          <w:szCs w:val="24"/>
        </w:rPr>
        <w:t>个月</w:t>
      </w:r>
      <w:r>
        <w:rPr>
          <w:rFonts w:ascii="宋体" w:hAnsi="宋体"/>
          <w:szCs w:val="24"/>
        </w:rPr>
        <w:t>内任意一个月的财务报表。【财务报表须包含资产负债表、利润表】。</w:t>
      </w:r>
    </w:p>
    <w:p>
      <w:pPr>
        <w:pStyle w:val="22"/>
        <w:numPr>
          <w:ilvl w:val="0"/>
          <w:numId w:val="5"/>
        </w:numPr>
        <w:ind w:firstLineChars="0"/>
        <w:rPr>
          <w:rFonts w:ascii="宋体" w:hAnsi="宋体"/>
          <w:szCs w:val="24"/>
        </w:rPr>
      </w:pPr>
      <w:r>
        <w:rPr>
          <w:rFonts w:ascii="宋体" w:hAnsi="宋体"/>
          <w:szCs w:val="24"/>
        </w:rPr>
        <w:t>履行合同所必须的设备和专业技术能力：按投标（响应）文件格式填报设备及专业技术能力情况。</w:t>
      </w:r>
    </w:p>
    <w:p>
      <w:pPr>
        <w:pStyle w:val="22"/>
        <w:numPr>
          <w:ilvl w:val="0"/>
          <w:numId w:val="5"/>
        </w:numPr>
        <w:ind w:firstLineChars="0"/>
        <w:rPr>
          <w:rFonts w:ascii="宋体" w:hAnsi="宋体"/>
          <w:szCs w:val="24"/>
        </w:rPr>
      </w:pPr>
      <w:r>
        <w:rPr>
          <w:rFonts w:ascii="宋体" w:hAnsi="宋体"/>
          <w:szCs w:val="24"/>
        </w:rPr>
        <w:t>参加采购活动前3年内，在经营活动中没有重大违法记录：参照投标（报价）函相关承诺格式内容。重大违法记录，是指供应商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Fonts w:hint="eastAsia" w:ascii="宋体" w:hAnsi="宋体"/>
          <w:szCs w:val="24"/>
        </w:rPr>
        <w:t>。</w:t>
      </w:r>
    </w:p>
    <w:p>
      <w:pPr>
        <w:pStyle w:val="22"/>
        <w:numPr>
          <w:ilvl w:val="0"/>
          <w:numId w:val="5"/>
        </w:numPr>
        <w:ind w:firstLineChars="0"/>
        <w:rPr>
          <w:rFonts w:ascii="宋体" w:hAnsi="宋体"/>
          <w:szCs w:val="24"/>
        </w:rPr>
      </w:pPr>
      <w:r>
        <w:rPr>
          <w:rFonts w:ascii="宋体" w:hAnsi="宋体"/>
          <w:szCs w:val="24"/>
        </w:rPr>
        <w:t>信用记录：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采购代理机构于投标（响应）截止时间当天在“信用中国”网站（</w:t>
      </w:r>
      <w:r>
        <w:rPr>
          <w:rFonts w:ascii="宋体" w:hAnsi="宋体"/>
          <w:szCs w:val="24"/>
        </w:rPr>
        <w:fldChar w:fldCharType="begin"/>
      </w:r>
      <w:r>
        <w:rPr>
          <w:rFonts w:ascii="宋体" w:hAnsi="宋体"/>
          <w:szCs w:val="24"/>
        </w:rPr>
        <w:instrText xml:space="preserve"> HYPERLINK "http://www.creditchina.gov.cn/" \h </w:instrText>
      </w:r>
      <w:r>
        <w:rPr>
          <w:rFonts w:ascii="宋体" w:hAnsi="宋体"/>
          <w:szCs w:val="24"/>
        </w:rPr>
        <w:fldChar w:fldCharType="separate"/>
      </w:r>
      <w:r>
        <w:rPr>
          <w:rFonts w:ascii="宋体" w:hAnsi="宋体"/>
          <w:szCs w:val="24"/>
        </w:rPr>
        <w:t>www.creditchina.gov.cn</w:t>
      </w:r>
      <w:r>
        <w:rPr>
          <w:rFonts w:ascii="宋体" w:hAnsi="宋体"/>
          <w:szCs w:val="24"/>
        </w:rPr>
        <w:fldChar w:fldCharType="end"/>
      </w:r>
      <w:r>
        <w:rPr>
          <w:rFonts w:ascii="宋体" w:hAnsi="宋体"/>
          <w:szCs w:val="24"/>
        </w:rPr>
        <w:t>）及中国政府采购网（</w:t>
      </w:r>
      <w:r>
        <w:rPr>
          <w:rFonts w:ascii="宋体" w:hAnsi="宋体"/>
          <w:szCs w:val="24"/>
        </w:rPr>
        <w:fldChar w:fldCharType="begin"/>
      </w:r>
      <w:r>
        <w:rPr>
          <w:rFonts w:ascii="宋体" w:hAnsi="宋体"/>
          <w:szCs w:val="24"/>
        </w:rPr>
        <w:instrText xml:space="preserve"> HYPERLINK "http://www.ccgp.gov.cn/" \h </w:instrText>
      </w:r>
      <w:r>
        <w:rPr>
          <w:rFonts w:ascii="宋体" w:hAnsi="宋体"/>
          <w:szCs w:val="24"/>
        </w:rPr>
        <w:fldChar w:fldCharType="separate"/>
      </w:r>
      <w:r>
        <w:rPr>
          <w:rFonts w:ascii="宋体" w:hAnsi="宋体"/>
          <w:szCs w:val="24"/>
        </w:rPr>
        <w:t>http://www.ccgp.gov.cn/</w:t>
      </w:r>
      <w:r>
        <w:rPr>
          <w:rFonts w:ascii="宋体" w:hAnsi="宋体"/>
          <w:szCs w:val="24"/>
        </w:rPr>
        <w:fldChar w:fldCharType="end"/>
      </w:r>
      <w:r>
        <w:rPr>
          <w:rFonts w:ascii="宋体" w:hAnsi="宋体"/>
          <w:szCs w:val="24"/>
        </w:rPr>
        <w:t>）查询结果为准，如相关失信记录已失效，供应商需提供相关证明资料）。</w:t>
      </w:r>
    </w:p>
    <w:p>
      <w:pPr>
        <w:pStyle w:val="22"/>
        <w:numPr>
          <w:ilvl w:val="0"/>
          <w:numId w:val="5"/>
        </w:numPr>
        <w:ind w:firstLineChars="0"/>
        <w:rPr>
          <w:rFonts w:ascii="宋体" w:hAnsi="宋体"/>
          <w:szCs w:val="24"/>
        </w:rPr>
      </w:pPr>
      <w:r>
        <w:rPr>
          <w:rFonts w:ascii="宋体" w:hAnsi="宋体"/>
          <w:szCs w:val="24"/>
        </w:rPr>
        <w:t>供应商必须符合法律、行政法规规定的其他条件：单位负责人为同一人或者存在直接控股、管理关系的不同供应商，不得同时参加本采购项目（包组）投标。为本项目提供整体设计、规范编制或者项目管理、监理、检测等服务的供应商，不得再参与本项目投标。 投标（报价）函相关承诺要求内容。</w:t>
      </w:r>
    </w:p>
    <w:p>
      <w:pPr>
        <w:pStyle w:val="4"/>
        <w:numPr>
          <w:ilvl w:val="1"/>
          <w:numId w:val="4"/>
        </w:numPr>
        <w:spacing w:before="0" w:after="0"/>
        <w:ind w:left="704"/>
        <w:rPr>
          <w:rFonts w:ascii="宋体" w:hAnsi="宋体" w:eastAsia="宋体"/>
          <w:b w:val="0"/>
          <w:bCs/>
          <w:sz w:val="24"/>
          <w:szCs w:val="24"/>
        </w:rPr>
      </w:pPr>
      <w:r>
        <w:rPr>
          <w:rFonts w:ascii="宋体" w:hAnsi="宋体" w:eastAsia="宋体"/>
          <w:b w:val="0"/>
          <w:bCs/>
          <w:sz w:val="24"/>
          <w:szCs w:val="24"/>
        </w:rPr>
        <w:t>本项目特定的资格要求：</w:t>
      </w:r>
      <w:r>
        <w:rPr>
          <w:rFonts w:hint="eastAsia" w:ascii="宋体" w:hAnsi="宋体" w:eastAsia="宋体"/>
          <w:b w:val="0"/>
          <w:bCs/>
          <w:sz w:val="24"/>
          <w:szCs w:val="24"/>
        </w:rPr>
        <w:t>无。</w:t>
      </w:r>
    </w:p>
    <w:p>
      <w:pPr>
        <w:pStyle w:val="2"/>
        <w:spacing w:line="360" w:lineRule="auto"/>
      </w:pPr>
      <w:r>
        <w:br w:type="page"/>
      </w:r>
    </w:p>
    <w:p>
      <w:pPr>
        <w:pStyle w:val="3"/>
        <w:numPr>
          <w:ilvl w:val="0"/>
          <w:numId w:val="3"/>
        </w:numPr>
        <w:spacing w:before="0" w:after="0"/>
        <w:jc w:val="left"/>
        <w:rPr>
          <w:rFonts w:ascii="黑体" w:hAnsi="黑体" w:eastAsia="黑体" w:cs="黑体"/>
          <w:bCs/>
          <w:kern w:val="0"/>
          <w:sz w:val="32"/>
          <w:szCs w:val="32"/>
          <w:lang w:val="zh-CN"/>
        </w:rPr>
      </w:pPr>
      <w:r>
        <w:rPr>
          <w:rFonts w:hint="eastAsia" w:ascii="黑体" w:hAnsi="黑体" w:eastAsia="黑体" w:cs="黑体"/>
          <w:bCs/>
          <w:kern w:val="0"/>
          <w:sz w:val="32"/>
          <w:szCs w:val="32"/>
          <w:lang w:val="zh-CN"/>
        </w:rPr>
        <w:t>用户需求</w:t>
      </w:r>
    </w:p>
    <w:p>
      <w:pPr>
        <w:pStyle w:val="4"/>
        <w:numPr>
          <w:ilvl w:val="1"/>
          <w:numId w:val="6"/>
        </w:numPr>
        <w:spacing w:before="0" w:after="0"/>
        <w:rPr>
          <w:rFonts w:ascii="宋体" w:hAnsi="宋体" w:eastAsia="宋体"/>
          <w:b w:val="0"/>
          <w:bCs/>
          <w:sz w:val="24"/>
          <w:szCs w:val="24"/>
        </w:rPr>
      </w:pPr>
      <w:r>
        <w:rPr>
          <w:rFonts w:hint="eastAsia" w:ascii="宋体" w:hAnsi="宋体" w:eastAsia="宋体"/>
          <w:b w:val="0"/>
          <w:bCs/>
          <w:sz w:val="24"/>
          <w:szCs w:val="24"/>
        </w:rPr>
        <w:t>技术要求</w:t>
      </w:r>
    </w:p>
    <w:p>
      <w:pPr>
        <w:pStyle w:val="22"/>
        <w:numPr>
          <w:ilvl w:val="0"/>
          <w:numId w:val="7"/>
        </w:numPr>
        <w:ind w:firstLineChars="0"/>
        <w:rPr>
          <w:rFonts w:ascii="宋体" w:hAnsi="宋体"/>
          <w:szCs w:val="24"/>
        </w:rPr>
      </w:pPr>
      <w:r>
        <w:rPr>
          <w:rFonts w:hint="eastAsia" w:ascii="宋体" w:hAnsi="宋体"/>
          <w:szCs w:val="24"/>
        </w:rPr>
        <w:t>设备参数要求：</w:t>
      </w:r>
    </w:p>
    <w:tbl>
      <w:tblPr>
        <w:tblStyle w:val="1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414"/>
        <w:gridCol w:w="6100"/>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708" w:type="dxa"/>
            <w:shd w:val="clear" w:color="000000" w:fill="FFFFFF"/>
            <w:vAlign w:val="center"/>
          </w:tcPr>
          <w:p>
            <w:pPr>
              <w:jc w:val="center"/>
              <w:rPr>
                <w:rFonts w:ascii="宋体" w:hAnsi="宋体" w:cs="宋体"/>
                <w:kern w:val="0"/>
              </w:rPr>
            </w:pPr>
            <w:r>
              <w:rPr>
                <w:rFonts w:hint="eastAsia" w:ascii="宋体" w:hAnsi="宋体" w:cs="宋体"/>
                <w:kern w:val="0"/>
              </w:rPr>
              <w:t>序号</w:t>
            </w:r>
          </w:p>
        </w:tc>
        <w:tc>
          <w:tcPr>
            <w:tcW w:w="1414" w:type="dxa"/>
            <w:shd w:val="clear" w:color="000000" w:fill="FFFFFF"/>
            <w:vAlign w:val="center"/>
          </w:tcPr>
          <w:p>
            <w:pPr>
              <w:jc w:val="center"/>
              <w:rPr>
                <w:rFonts w:ascii="宋体" w:hAnsi="宋体" w:cs="宋体"/>
                <w:kern w:val="0"/>
              </w:rPr>
            </w:pPr>
            <w:r>
              <w:rPr>
                <w:rFonts w:hint="eastAsia" w:ascii="宋体" w:hAnsi="宋体" w:cs="宋体"/>
                <w:kern w:val="0"/>
              </w:rPr>
              <w:t>设备名称</w:t>
            </w:r>
          </w:p>
        </w:tc>
        <w:tc>
          <w:tcPr>
            <w:tcW w:w="6100" w:type="dxa"/>
            <w:shd w:val="clear" w:color="000000" w:fill="FFFFFF"/>
            <w:vAlign w:val="center"/>
          </w:tcPr>
          <w:p>
            <w:pPr>
              <w:jc w:val="center"/>
              <w:rPr>
                <w:rFonts w:ascii="宋体" w:hAnsi="宋体" w:cs="宋体"/>
                <w:kern w:val="0"/>
              </w:rPr>
            </w:pPr>
            <w:r>
              <w:rPr>
                <w:rFonts w:hint="eastAsia" w:ascii="宋体" w:hAnsi="宋体" w:cs="宋体"/>
                <w:kern w:val="0"/>
              </w:rPr>
              <w:t>技术参数</w:t>
            </w:r>
          </w:p>
        </w:tc>
        <w:tc>
          <w:tcPr>
            <w:tcW w:w="850" w:type="dxa"/>
            <w:shd w:val="clear" w:color="000000" w:fill="FFFFFF"/>
            <w:vAlign w:val="center"/>
          </w:tcPr>
          <w:p>
            <w:pPr>
              <w:jc w:val="center"/>
              <w:rPr>
                <w:rFonts w:ascii="宋体" w:hAnsi="宋体" w:cs="宋体"/>
                <w:kern w:val="0"/>
              </w:rPr>
            </w:pPr>
            <w:r>
              <w:rPr>
                <w:rFonts w:hint="eastAsia" w:ascii="宋体" w:hAnsi="宋体" w:cs="宋体"/>
                <w:kern w:val="0"/>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708" w:type="dxa"/>
            <w:shd w:val="clear" w:color="auto" w:fill="auto"/>
            <w:noWrap/>
            <w:vAlign w:val="center"/>
          </w:tcPr>
          <w:p>
            <w:pPr>
              <w:jc w:val="center"/>
              <w:rPr>
                <w:rFonts w:ascii="宋体" w:hAnsi="宋体" w:cs="宋体"/>
                <w:kern w:val="0"/>
              </w:rPr>
            </w:pPr>
            <w:r>
              <w:rPr>
                <w:rFonts w:hint="eastAsia" w:ascii="宋体" w:hAnsi="宋体" w:cs="宋体"/>
                <w:kern w:val="0"/>
              </w:rPr>
              <w:t>1</w:t>
            </w:r>
          </w:p>
        </w:tc>
        <w:tc>
          <w:tcPr>
            <w:tcW w:w="1414" w:type="dxa"/>
            <w:shd w:val="clear" w:color="auto" w:fill="auto"/>
            <w:vAlign w:val="center"/>
          </w:tcPr>
          <w:p>
            <w:pPr>
              <w:jc w:val="center"/>
              <w:rPr>
                <w:rFonts w:ascii="宋体" w:hAnsi="宋体" w:cs="宋体"/>
                <w:kern w:val="0"/>
              </w:rPr>
            </w:pPr>
            <w:r>
              <w:rPr>
                <w:rFonts w:hint="eastAsia" w:ascii="宋体" w:hAnsi="宋体" w:cs="宋体"/>
                <w:kern w:val="0"/>
              </w:rPr>
              <w:t>上网行为管理器</w:t>
            </w:r>
          </w:p>
        </w:tc>
        <w:tc>
          <w:tcPr>
            <w:tcW w:w="6100" w:type="dxa"/>
            <w:shd w:val="clear" w:color="auto" w:fill="auto"/>
            <w:vAlign w:val="center"/>
          </w:tcPr>
          <w:p>
            <w:pPr>
              <w:rPr>
                <w:rFonts w:ascii="宋体" w:hAnsi="宋体"/>
              </w:rPr>
            </w:pPr>
            <w:r>
              <w:rPr>
                <w:rFonts w:hint="eastAsia" w:ascii="宋体" w:hAnsi="宋体"/>
              </w:rPr>
              <w:t>1、规格≥2U，内存大小≥8G，硬盘容量≥64G SSD+960G SSD，电源≥双电源，接口≥6千兆电口+2万兆光口SFP+。</w:t>
            </w:r>
          </w:p>
          <w:p>
            <w:pPr>
              <w:rPr>
                <w:rFonts w:ascii="宋体" w:hAnsi="宋体"/>
              </w:rPr>
            </w:pPr>
            <w:r>
              <w:rPr>
                <w:rFonts w:hint="eastAsia" w:ascii="宋体" w:hAnsi="宋体"/>
              </w:rPr>
              <w:t>2、网络层吞吐量（大包）：15Gb，应用层吞吐量≥3.6Gb，带宽性能≥2Gbps，IPSEC VPN加密性能（最高性能）≥600Mb，支持用户数≥20000，包转发率≥300Kpps，每秒新建连接数≥30000，最大并发连接数≥1400000。</w:t>
            </w:r>
          </w:p>
          <w:p>
            <w:pPr>
              <w:rPr>
                <w:rFonts w:ascii="宋体" w:hAnsi="宋体"/>
              </w:rPr>
            </w:pPr>
            <w:r>
              <w:rPr>
                <w:rFonts w:hint="eastAsia" w:ascii="宋体" w:hAnsi="宋体"/>
              </w:rPr>
              <w:t>3、支持旁路模式，无需更改网络配置，实现上网行为审计；旁路支持主主、主备模式部署。</w:t>
            </w:r>
          </w:p>
          <w:p>
            <w:pPr>
              <w:rPr>
                <w:rFonts w:ascii="宋体" w:hAnsi="宋体"/>
              </w:rPr>
            </w:pPr>
            <w:r>
              <w:rPr>
                <w:rFonts w:hint="eastAsia" w:ascii="宋体" w:hAnsi="宋体"/>
              </w:rPr>
              <w:t>4、多台设备支持通过统一平台集中管理、集中配置等。</w:t>
            </w:r>
          </w:p>
          <w:p>
            <w:pPr>
              <w:rPr>
                <w:rFonts w:ascii="宋体" w:hAnsi="宋体"/>
              </w:rPr>
            </w:pPr>
            <w:r>
              <w:rPr>
                <w:rFonts w:hint="eastAsia" w:ascii="宋体" w:hAnsi="宋体"/>
              </w:rPr>
              <w:t>5、▲支持针对用户认证的故障进行分析，给出错误详情以及排查建议。（提供产品界面截图）</w:t>
            </w:r>
          </w:p>
          <w:p>
            <w:pPr>
              <w:rPr>
                <w:rFonts w:ascii="宋体" w:hAnsi="宋体"/>
              </w:rPr>
            </w:pPr>
            <w:r>
              <w:rPr>
                <w:rFonts w:hint="eastAsia" w:ascii="宋体" w:hAnsi="宋体"/>
              </w:rPr>
              <w:t>6、支持解密排障，自动检测解密审计不成功原因。</w:t>
            </w:r>
          </w:p>
          <w:p>
            <w:pPr>
              <w:rPr>
                <w:rFonts w:ascii="宋体" w:hAnsi="宋体"/>
              </w:rPr>
            </w:pPr>
            <w:r>
              <w:rPr>
                <w:rFonts w:hint="eastAsia" w:ascii="宋体" w:hAnsi="宋体"/>
              </w:rPr>
              <w:t>7、支持自动注销指定时间内无流量的已认证用户。（提供产品界面截图）</w:t>
            </w:r>
          </w:p>
          <w:p>
            <w:pPr>
              <w:rPr>
                <w:rFonts w:ascii="宋体" w:hAnsi="宋体"/>
              </w:rPr>
            </w:pPr>
            <w:r>
              <w:rPr>
                <w:rFonts w:hint="eastAsia" w:ascii="宋体" w:hAnsi="宋体"/>
              </w:rPr>
              <w:t>8、▲设备必须支持能自动发现网络中通过无线上网的热点和移动终端的IP和终端类型，支持移动终端型号识别。（提供产品界面截图）</w:t>
            </w:r>
          </w:p>
          <w:p>
            <w:pPr>
              <w:rPr>
                <w:rFonts w:ascii="宋体" w:hAnsi="宋体"/>
              </w:rPr>
            </w:pPr>
            <w:r>
              <w:rPr>
                <w:rFonts w:hint="eastAsia" w:ascii="宋体" w:hAnsi="宋体"/>
              </w:rPr>
              <w:t>9、支持以图表方式显示移动终端接入趋势。</w:t>
            </w:r>
          </w:p>
          <w:p>
            <w:pPr>
              <w:rPr>
                <w:rFonts w:ascii="宋体" w:hAnsi="宋体"/>
              </w:rPr>
            </w:pPr>
            <w:r>
              <w:rPr>
                <w:rFonts w:hint="eastAsia" w:ascii="宋体" w:hAnsi="宋体"/>
              </w:rPr>
              <w:t xml:space="preserve">10、▲识别并过滤SSL加密的钓鱼网站、非法网站等，支持将违规https访问重定向到告警页面。（必须提供自主知识产权证明） </w:t>
            </w:r>
          </w:p>
          <w:p>
            <w:pPr>
              <w:rPr>
                <w:rFonts w:ascii="宋体" w:hAnsi="宋体"/>
              </w:rPr>
            </w:pPr>
            <w:r>
              <w:rPr>
                <w:rFonts w:hint="eastAsia" w:ascii="宋体" w:hAnsi="宋体"/>
              </w:rPr>
              <w:t>11、▲对Saas应用有默认分类标签，帮助客户统一配置策略，必须支持超过200种主流网络会议/办公OA/教育等学习应用。（提供产品界面截图）</w:t>
            </w:r>
          </w:p>
          <w:p>
            <w:pPr>
              <w:rPr>
                <w:rFonts w:ascii="宋体" w:hAnsi="宋体"/>
              </w:rPr>
            </w:pPr>
            <w:r>
              <w:rPr>
                <w:rFonts w:hint="eastAsia" w:ascii="宋体" w:hAnsi="宋体"/>
              </w:rPr>
              <w:t>12、必须支持允许用户登录Webmail收邮件，而禁止发送Webmail邮件的功能。</w:t>
            </w:r>
          </w:p>
          <w:p>
            <w:pPr>
              <w:rPr>
                <w:rFonts w:ascii="宋体" w:hAnsi="宋体"/>
              </w:rPr>
            </w:pPr>
            <w:r>
              <w:rPr>
                <w:rFonts w:hint="eastAsia" w:ascii="宋体" w:hAnsi="宋体"/>
              </w:rPr>
              <w:t>13、▲支持对加密HTTPS、SMTP-SSL、SMTP的邮件进行关键字过滤。（提供产品界面截图）</w:t>
            </w:r>
          </w:p>
          <w:p>
            <w:pPr>
              <w:rPr>
                <w:rFonts w:ascii="宋体" w:hAnsi="宋体"/>
              </w:rPr>
            </w:pPr>
            <w:r>
              <w:rPr>
                <w:rFonts w:hint="eastAsia" w:ascii="宋体" w:hAnsi="宋体"/>
              </w:rPr>
              <w:t>14、▲不允许使用外部HTTP代理，不允许使用外部Sock4/5代理，不允许在HTTP,SSL一些的标准端口上使用其他协议。（比如在80端口上传输非HTTP协议数据，在443端口上传输非HTTPS协议数据等）（提供产品界面截图）</w:t>
            </w:r>
          </w:p>
          <w:p>
            <w:pPr>
              <w:rPr>
                <w:rFonts w:ascii="宋体" w:hAnsi="宋体"/>
              </w:rPr>
            </w:pPr>
            <w:r>
              <w:rPr>
                <w:rFonts w:hint="eastAsia" w:ascii="宋体" w:hAnsi="宋体"/>
              </w:rPr>
              <w:t>15、▲必须支持将多条外网线路虚拟映射到设备上，实现对多线路的分别流控。（提供产品界面截图）</w:t>
            </w:r>
          </w:p>
          <w:p>
            <w:pPr>
              <w:rPr>
                <w:rFonts w:ascii="宋体" w:hAnsi="宋体"/>
              </w:rPr>
            </w:pPr>
            <w:r>
              <w:rPr>
                <w:rFonts w:hint="eastAsia" w:ascii="宋体" w:hAnsi="宋体"/>
              </w:rPr>
              <w:t>16、▲优先使用优先级高的线路，支持按运营商、剩余带宽、带宽比例、平均分配等多种链路负载方式；支持使用VPN做专线备份；支持链路故障检测。（提供产品界面截图）</w:t>
            </w:r>
          </w:p>
          <w:p>
            <w:pPr>
              <w:rPr>
                <w:rFonts w:ascii="宋体" w:hAnsi="宋体"/>
              </w:rPr>
            </w:pPr>
            <w:r>
              <w:rPr>
                <w:rFonts w:hint="eastAsia" w:ascii="宋体" w:hAnsi="宋体"/>
              </w:rPr>
              <w:t>17、▲支持在设置流量策略后，根据整体线路或者某流量通道内的空闲情况，自动启用和停止使用流量控制策略，以提升带宽的高使用率；空闲值可自定义。（提供产品界面截图）</w:t>
            </w:r>
          </w:p>
          <w:p>
            <w:pPr>
              <w:rPr>
                <w:rFonts w:ascii="宋体" w:hAnsi="宋体"/>
              </w:rPr>
            </w:pPr>
            <w:r>
              <w:rPr>
                <w:rFonts w:hint="eastAsia" w:ascii="宋体" w:hAnsi="宋体"/>
              </w:rPr>
              <w:t>18、支持限制指定用户最大并发连接数。</w:t>
            </w:r>
          </w:p>
          <w:p>
            <w:pPr>
              <w:rPr>
                <w:rFonts w:ascii="宋体" w:hAnsi="宋体"/>
              </w:rPr>
            </w:pPr>
            <w:r>
              <w:rPr>
                <w:rFonts w:hint="eastAsia" w:ascii="宋体" w:hAnsi="宋体"/>
              </w:rPr>
              <w:t>19、▲支持用户可以自定义产生根证书，导入包含秘钥的根证书。（提供产品界面截图）</w:t>
            </w:r>
          </w:p>
          <w:p>
            <w:pPr>
              <w:rPr>
                <w:rFonts w:ascii="宋体" w:hAnsi="宋体" w:cs="宋体"/>
                <w:kern w:val="0"/>
              </w:rPr>
            </w:pPr>
            <w:r>
              <w:rPr>
                <w:rFonts w:hint="eastAsia" w:ascii="宋体" w:hAnsi="宋体"/>
              </w:rPr>
              <w:t>20、国家应急中心应急支撑单位CNCERT证书。（国家级）</w:t>
            </w:r>
          </w:p>
        </w:tc>
        <w:tc>
          <w:tcPr>
            <w:tcW w:w="850" w:type="dxa"/>
            <w:shd w:val="clear" w:color="auto" w:fill="auto"/>
            <w:vAlign w:val="center"/>
          </w:tcPr>
          <w:p>
            <w:pPr>
              <w:jc w:val="center"/>
              <w:rPr>
                <w:rFonts w:ascii="宋体" w:hAnsi="宋体" w:cs="宋体"/>
                <w:kern w:val="0"/>
              </w:rPr>
            </w:pPr>
            <w:r>
              <w:rPr>
                <w:rFonts w:hint="eastAsia" w:ascii="宋体" w:hAnsi="宋体" w:cs="宋体"/>
                <w:kern w:val="0"/>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9072" w:type="dxa"/>
            <w:gridSpan w:val="4"/>
            <w:shd w:val="clear" w:color="auto" w:fill="auto"/>
            <w:noWrap/>
            <w:vAlign w:val="center"/>
          </w:tcPr>
          <w:p>
            <w:pPr>
              <w:rPr>
                <w:rFonts w:ascii="宋体" w:hAnsi="宋体" w:cs="宋体"/>
                <w:kern w:val="0"/>
              </w:rPr>
            </w:pPr>
            <w:r>
              <w:rPr>
                <w:rFonts w:hint="eastAsia" w:ascii="宋体" w:hAnsi="宋体" w:cs="宋体"/>
                <w:kern w:val="0"/>
              </w:rPr>
              <w:t>备注</w:t>
            </w:r>
            <w:r>
              <w:rPr>
                <w:rFonts w:ascii="宋体" w:hAnsi="宋体" w:cs="宋体"/>
                <w:kern w:val="0"/>
              </w:rPr>
              <w:t>：</w:t>
            </w:r>
            <w:r>
              <w:rPr>
                <w:rFonts w:hint="eastAsia" w:ascii="宋体" w:hAnsi="宋体"/>
              </w:rPr>
              <w:t>带</w:t>
            </w:r>
            <w:r>
              <w:rPr>
                <w:rFonts w:ascii="宋体" w:hAnsi="宋体"/>
              </w:rPr>
              <w:t>“</w:t>
            </w:r>
            <w:r>
              <w:rPr>
                <w:rFonts w:hint="eastAsia" w:ascii="宋体" w:hAnsi="宋体" w:cs="宋体"/>
                <w:color w:val="000000"/>
              </w:rPr>
              <w:t>▲</w:t>
            </w:r>
            <w:r>
              <w:rPr>
                <w:rFonts w:ascii="宋体" w:hAnsi="宋体"/>
              </w:rPr>
              <w:t>”</w:t>
            </w:r>
            <w:r>
              <w:rPr>
                <w:rFonts w:hint="eastAsia" w:ascii="宋体" w:hAnsi="宋体"/>
              </w:rPr>
              <w:t>的</w:t>
            </w:r>
            <w:r>
              <w:rPr>
                <w:rFonts w:ascii="宋体" w:hAnsi="宋体"/>
              </w:rPr>
              <w:t>技术参数必须全部满足。</w:t>
            </w:r>
          </w:p>
        </w:tc>
      </w:tr>
    </w:tbl>
    <w:p>
      <w:pPr>
        <w:pStyle w:val="22"/>
        <w:numPr>
          <w:ilvl w:val="0"/>
          <w:numId w:val="7"/>
        </w:numPr>
        <w:ind w:firstLineChars="0"/>
        <w:rPr>
          <w:rFonts w:hAnsi="宋体" w:cs="宋体"/>
          <w:highlight w:val="none"/>
        </w:rPr>
      </w:pPr>
      <w:r>
        <w:rPr>
          <w:rFonts w:hint="eastAsia" w:ascii="宋体" w:hAnsi="宋体"/>
          <w:szCs w:val="24"/>
          <w:highlight w:val="none"/>
        </w:rPr>
        <w:t>其他要求：</w:t>
      </w:r>
      <w:r>
        <w:rPr>
          <w:rFonts w:hint="eastAsia" w:hAnsi="宋体" w:cs="宋体"/>
          <w:highlight w:val="none"/>
        </w:rPr>
        <w:t>为保证产品质量、供货渠道的合法性和完善的售后服务，供应商承诺：在中标后</w:t>
      </w:r>
      <w:r>
        <w:rPr>
          <w:rFonts w:hAnsi="宋体" w:cs="宋体"/>
          <w:highlight w:val="none"/>
        </w:rPr>
        <w:t>5</w:t>
      </w:r>
      <w:r>
        <w:rPr>
          <w:rFonts w:hint="eastAsia" w:hAnsi="宋体" w:cs="宋体"/>
          <w:highlight w:val="none"/>
        </w:rPr>
        <w:t>个日历日内需提供设备的参数确认、原厂供货及售后服务证明文件原件（证明文件的原件由原厂盖章）。</w:t>
      </w:r>
    </w:p>
    <w:p>
      <w:pPr>
        <w:pStyle w:val="4"/>
        <w:numPr>
          <w:ilvl w:val="1"/>
          <w:numId w:val="6"/>
        </w:numPr>
        <w:spacing w:before="0" w:after="0"/>
        <w:rPr>
          <w:rFonts w:ascii="宋体" w:hAnsi="宋体" w:eastAsia="宋体"/>
          <w:b w:val="0"/>
          <w:bCs/>
          <w:sz w:val="24"/>
          <w:szCs w:val="24"/>
        </w:rPr>
      </w:pPr>
      <w:r>
        <w:rPr>
          <w:rFonts w:hint="eastAsia" w:ascii="宋体" w:hAnsi="宋体" w:eastAsia="宋体"/>
          <w:b w:val="0"/>
          <w:bCs/>
          <w:sz w:val="24"/>
          <w:szCs w:val="24"/>
        </w:rPr>
        <w:t>商务要求</w:t>
      </w:r>
    </w:p>
    <w:p>
      <w:pPr>
        <w:pStyle w:val="22"/>
        <w:numPr>
          <w:ilvl w:val="0"/>
          <w:numId w:val="8"/>
        </w:numPr>
        <w:ind w:firstLineChars="0"/>
        <w:rPr>
          <w:rFonts w:ascii="宋体" w:hAnsi="宋体" w:cs="宋体"/>
          <w:bCs/>
        </w:rPr>
      </w:pPr>
      <w:r>
        <w:rPr>
          <w:rFonts w:hint="eastAsia" w:ascii="宋体" w:hAnsi="宋体" w:cs="宋体"/>
        </w:rPr>
        <w:t>供应商</w:t>
      </w:r>
      <w:r>
        <w:rPr>
          <w:rFonts w:hint="eastAsia" w:ascii="宋体" w:hAnsi="宋体" w:cs="宋体"/>
          <w:bCs/>
        </w:rPr>
        <w:t>所投报的产品必须是本国产品，本项目不接受所投报产品为进口产品的投标（进口产品是指通过中国海关验放进入中国境内而且产自境外的产品）。</w:t>
      </w:r>
    </w:p>
    <w:p>
      <w:pPr>
        <w:pStyle w:val="22"/>
        <w:numPr>
          <w:ilvl w:val="0"/>
          <w:numId w:val="8"/>
        </w:numPr>
        <w:ind w:firstLineChars="0"/>
        <w:rPr>
          <w:rFonts w:ascii="宋体" w:hAnsi="宋体"/>
          <w:color w:val="000000"/>
        </w:rPr>
      </w:pPr>
      <w:r>
        <w:rPr>
          <w:rFonts w:hint="eastAsia" w:ascii="宋体" w:hAnsi="宋体" w:cs="宋体"/>
        </w:rPr>
        <w:t>供应商</w:t>
      </w:r>
      <w:r>
        <w:rPr>
          <w:rFonts w:hint="eastAsia" w:ascii="宋体" w:hAnsi="宋体"/>
          <w:color w:val="000000"/>
        </w:rPr>
        <w:t>所投报的产品应当是在中国境内合法销售，且符合国家有关部门规定的相应技术、节能、安全和环保标准；国家有关部门对</w:t>
      </w:r>
      <w:r>
        <w:rPr>
          <w:rFonts w:hint="eastAsia" w:ascii="宋体" w:hAnsi="宋体" w:cs="宋体"/>
        </w:rPr>
        <w:t>供应商</w:t>
      </w:r>
      <w:r>
        <w:rPr>
          <w:rFonts w:hint="eastAsia" w:ascii="宋体" w:hAnsi="宋体"/>
          <w:color w:val="000000"/>
        </w:rPr>
        <w:t>所投报的产品有强制性规定或要求的，</w:t>
      </w:r>
      <w:r>
        <w:rPr>
          <w:rFonts w:hint="eastAsia" w:ascii="宋体" w:hAnsi="宋体" w:cs="宋体"/>
        </w:rPr>
        <w:t>供应商</w:t>
      </w:r>
      <w:r>
        <w:rPr>
          <w:rFonts w:hint="eastAsia" w:ascii="宋体" w:hAnsi="宋体"/>
          <w:color w:val="000000"/>
        </w:rPr>
        <w:t>所投报的产品应当符合相应规定或要求。</w:t>
      </w:r>
    </w:p>
    <w:p>
      <w:pPr>
        <w:pStyle w:val="22"/>
        <w:numPr>
          <w:ilvl w:val="0"/>
          <w:numId w:val="8"/>
        </w:numPr>
        <w:ind w:firstLineChars="0"/>
        <w:rPr>
          <w:rFonts w:ascii="宋体" w:hAnsi="宋体"/>
          <w:color w:val="000000"/>
        </w:rPr>
      </w:pPr>
      <w:r>
        <w:rPr>
          <w:rFonts w:hint="eastAsia" w:ascii="宋体" w:hAnsi="宋体" w:cs="宋体"/>
        </w:rPr>
        <w:t>供应商</w:t>
      </w:r>
      <w:r>
        <w:rPr>
          <w:rFonts w:hint="eastAsia" w:ascii="宋体" w:hAnsi="宋体"/>
          <w:color w:val="000000"/>
        </w:rPr>
        <w:t>所投报的软件需为正版软件。</w:t>
      </w:r>
    </w:p>
    <w:p>
      <w:pPr>
        <w:pStyle w:val="22"/>
        <w:numPr>
          <w:ilvl w:val="0"/>
          <w:numId w:val="8"/>
        </w:numPr>
        <w:ind w:firstLineChars="0"/>
        <w:rPr>
          <w:rFonts w:ascii="宋体" w:hAnsi="宋体"/>
          <w:color w:val="000000"/>
        </w:rPr>
      </w:pPr>
      <w:r>
        <w:rPr>
          <w:rFonts w:hint="eastAsia" w:ascii="宋体" w:hAnsi="宋体" w:cs="宋体"/>
        </w:rPr>
        <w:t>供应商</w:t>
      </w:r>
      <w:r>
        <w:rPr>
          <w:rFonts w:hint="eastAsia" w:ascii="宋体" w:hAnsi="宋体"/>
          <w:color w:val="000000"/>
        </w:rPr>
        <w:t>所投报的产品必须是全新未使用的优质产品，并提供所有产品的附件、说明书和技术咨询。设备及其辅助装置的铭牌、使用指示、警告指示应以中文及易懂的通用符号来表示，应能够准确无误地表示设备的型号、规格和厂商。</w:t>
      </w:r>
    </w:p>
    <w:p>
      <w:pPr>
        <w:pStyle w:val="22"/>
        <w:numPr>
          <w:ilvl w:val="0"/>
          <w:numId w:val="8"/>
        </w:numPr>
        <w:ind w:firstLineChars="0"/>
        <w:rPr>
          <w:rFonts w:ascii="宋体" w:hAnsi="宋体"/>
          <w:color w:val="000000"/>
        </w:rPr>
      </w:pPr>
      <w:r>
        <w:rPr>
          <w:rFonts w:hint="eastAsia" w:ascii="宋体" w:hAnsi="宋体" w:cs="宋体"/>
        </w:rPr>
        <w:t>供应商</w:t>
      </w:r>
      <w:r>
        <w:rPr>
          <w:rFonts w:hint="eastAsia" w:ascii="宋体" w:hAnsi="宋体"/>
          <w:color w:val="000000"/>
        </w:rPr>
        <w:t>应当按照采购人的要求及其他技术等要求对系统（软、硬件）进行安装和调试。</w:t>
      </w:r>
    </w:p>
    <w:p>
      <w:pPr>
        <w:pStyle w:val="22"/>
        <w:numPr>
          <w:ilvl w:val="0"/>
          <w:numId w:val="8"/>
        </w:numPr>
        <w:ind w:firstLineChars="0"/>
        <w:rPr>
          <w:rFonts w:ascii="宋体" w:hAnsi="宋体"/>
          <w:color w:val="000000"/>
        </w:rPr>
      </w:pPr>
      <w:r>
        <w:rPr>
          <w:rFonts w:hint="eastAsia" w:ascii="宋体" w:hAnsi="宋体"/>
          <w:color w:val="000000"/>
        </w:rPr>
        <w:t>设备到货时</w:t>
      </w:r>
      <w:r>
        <w:rPr>
          <w:rFonts w:hint="eastAsia" w:ascii="宋体" w:hAnsi="宋体" w:cs="宋体"/>
        </w:rPr>
        <w:t>供应商</w:t>
      </w:r>
      <w:r>
        <w:rPr>
          <w:rFonts w:hint="eastAsia" w:ascii="宋体" w:hAnsi="宋体"/>
          <w:color w:val="000000"/>
        </w:rPr>
        <w:t>应当提供主要设备的维修、使用、保养手册，设备出厂检验合格证书，质量保证书，设备到货清单，系统技术文档和操作说明书等资料供采购人核查。设备、材料进场必须先经采购人验收通过后才能开始施工</w:t>
      </w:r>
      <w:r>
        <w:rPr>
          <w:rFonts w:hint="eastAsia" w:ascii="宋体" w:hAnsi="宋体"/>
          <w:bCs/>
          <w:color w:val="000000"/>
        </w:rPr>
        <w:t>。</w:t>
      </w:r>
    </w:p>
    <w:p>
      <w:pPr>
        <w:pStyle w:val="22"/>
        <w:numPr>
          <w:ilvl w:val="0"/>
          <w:numId w:val="8"/>
        </w:numPr>
        <w:ind w:firstLineChars="0"/>
        <w:rPr>
          <w:rFonts w:ascii="宋体" w:hAnsi="宋体"/>
          <w:color w:val="000000"/>
        </w:rPr>
      </w:pPr>
      <w:r>
        <w:rPr>
          <w:rFonts w:hint="eastAsia" w:ascii="宋体" w:hAnsi="宋体" w:cs="宋体"/>
          <w:lang w:eastAsia="zh-CN"/>
        </w:rPr>
        <w:t>优先</w:t>
      </w:r>
      <w:r>
        <w:rPr>
          <w:rFonts w:hint="eastAsia" w:ascii="宋体" w:hAnsi="宋体" w:cs="宋体"/>
        </w:rPr>
        <w:t>供应商</w:t>
      </w:r>
      <w:r>
        <w:rPr>
          <w:rFonts w:hint="eastAsia" w:ascii="宋体" w:hAnsi="宋体"/>
          <w:color w:val="000000"/>
        </w:rPr>
        <w:t>（非江门地区内注册的）在江门地区内设有固定的运维及售后服务机构（必须提供相关证明材料），</w:t>
      </w:r>
      <w:r>
        <w:rPr>
          <w:rFonts w:hint="eastAsia" w:ascii="宋体" w:hAnsi="宋体"/>
          <w:color w:val="000000"/>
          <w:u w:val="single"/>
        </w:rPr>
        <w:t>不接受委托第三方提供运维及售后服务</w:t>
      </w:r>
      <w:r>
        <w:rPr>
          <w:rFonts w:hint="eastAsia" w:ascii="宋体" w:hAnsi="宋体"/>
          <w:color w:val="000000"/>
        </w:rPr>
        <w:t>。</w:t>
      </w:r>
    </w:p>
    <w:p>
      <w:pPr>
        <w:pStyle w:val="22"/>
        <w:numPr>
          <w:ilvl w:val="0"/>
          <w:numId w:val="8"/>
        </w:numPr>
        <w:ind w:firstLineChars="0"/>
        <w:rPr>
          <w:rFonts w:ascii="宋体" w:hAnsi="宋体"/>
          <w:color w:val="000000"/>
        </w:rPr>
      </w:pPr>
      <w:r>
        <w:rPr>
          <w:rFonts w:hint="eastAsia" w:ascii="宋体" w:hAnsi="宋体" w:cs="宋体"/>
        </w:rPr>
        <w:t>供应商</w:t>
      </w:r>
      <w:r>
        <w:rPr>
          <w:rFonts w:hint="eastAsia" w:ascii="宋体" w:hAnsi="宋体"/>
          <w:color w:val="000000"/>
        </w:rPr>
        <w:t>须有能力提供完善的售后服务（包括参与本次采购项目的建设及后期维护的技术人员、响应时间及备品、备件方面等）。</w:t>
      </w:r>
      <w:r>
        <w:rPr>
          <w:rFonts w:hint="eastAsia" w:ascii="宋体" w:hAnsi="宋体" w:cs="宋体"/>
        </w:rPr>
        <w:t>供应商</w:t>
      </w:r>
      <w:r>
        <w:rPr>
          <w:rFonts w:hint="eastAsia" w:ascii="宋体" w:hAnsi="宋体"/>
          <w:color w:val="000000"/>
        </w:rPr>
        <w:t>负责免费现场培训采购人的操作人员，直至相关的操作人员掌握操作技术为止。</w:t>
      </w:r>
    </w:p>
    <w:p>
      <w:pPr>
        <w:pStyle w:val="22"/>
        <w:numPr>
          <w:ilvl w:val="0"/>
          <w:numId w:val="8"/>
        </w:numPr>
        <w:ind w:firstLineChars="0"/>
        <w:rPr>
          <w:rFonts w:ascii="宋体" w:hAnsi="宋体"/>
          <w:color w:val="000000"/>
        </w:rPr>
      </w:pPr>
      <w:r>
        <w:rPr>
          <w:rFonts w:hint="eastAsia" w:ascii="宋体" w:hAnsi="宋体"/>
          <w:color w:val="000000"/>
        </w:rPr>
        <w:t>售后服务：</w:t>
      </w:r>
    </w:p>
    <w:p>
      <w:pPr>
        <w:ind w:firstLine="480" w:firstLineChars="200"/>
        <w:rPr>
          <w:rFonts w:ascii="宋体" w:hAnsi="宋体"/>
          <w:color w:val="000000"/>
        </w:rPr>
      </w:pPr>
      <w:r>
        <w:rPr>
          <w:rFonts w:hint="eastAsia" w:ascii="宋体" w:hAnsi="宋体"/>
          <w:color w:val="000000"/>
        </w:rPr>
        <w:t>（1）自验收合格之日起计算，所投报的硬件和</w:t>
      </w:r>
      <w:r>
        <w:rPr>
          <w:rFonts w:ascii="宋体" w:hAnsi="宋体"/>
          <w:color w:val="000000"/>
        </w:rPr>
        <w:t>软件</w:t>
      </w:r>
      <w:r>
        <w:rPr>
          <w:rFonts w:hint="eastAsia" w:ascii="宋体" w:hAnsi="宋体"/>
          <w:color w:val="000000"/>
        </w:rPr>
        <w:t>产品提供至少</w:t>
      </w:r>
      <w:r>
        <w:rPr>
          <w:rFonts w:ascii="宋体" w:hAnsi="宋体"/>
          <w:color w:val="000000"/>
        </w:rPr>
        <w:t>3</w:t>
      </w:r>
      <w:r>
        <w:rPr>
          <w:rFonts w:hint="eastAsia" w:ascii="宋体" w:hAnsi="宋体"/>
          <w:color w:val="000000"/>
        </w:rPr>
        <w:t>年的免费保修期，保修期内免费维护，并免费提供备品、备件。无论在保修期（维护期）内或保修期（维护期）外，</w:t>
      </w:r>
      <w:r>
        <w:rPr>
          <w:rFonts w:hint="eastAsia" w:ascii="宋体" w:hAnsi="宋体" w:cs="宋体"/>
        </w:rPr>
        <w:t>供应商</w:t>
      </w:r>
      <w:r>
        <w:rPr>
          <w:rFonts w:hint="eastAsia" w:ascii="宋体" w:hAnsi="宋体"/>
          <w:color w:val="000000"/>
        </w:rPr>
        <w:t>需提供上门服务。</w:t>
      </w:r>
      <w:r>
        <w:rPr>
          <w:rFonts w:hint="eastAsia" w:ascii="宋体" w:hAnsi="宋体" w:cs="宋体"/>
        </w:rPr>
        <w:t>供应商</w:t>
      </w:r>
      <w:r>
        <w:rPr>
          <w:rFonts w:hint="eastAsia" w:ascii="宋体" w:hAnsi="宋体"/>
          <w:color w:val="000000"/>
        </w:rPr>
        <w:t>需提供终身售后服务。</w:t>
      </w:r>
    </w:p>
    <w:p>
      <w:pPr>
        <w:ind w:firstLine="480" w:firstLineChars="200"/>
        <w:rPr>
          <w:rFonts w:ascii="宋体" w:hAnsi="宋体"/>
          <w:color w:val="000000"/>
        </w:rPr>
      </w:pPr>
      <w:r>
        <w:rPr>
          <w:rFonts w:hint="eastAsia" w:ascii="宋体" w:hAnsi="宋体"/>
          <w:color w:val="000000"/>
        </w:rPr>
        <w:t>（2）产品发生故障后，</w:t>
      </w:r>
      <w:r>
        <w:rPr>
          <w:rFonts w:hint="eastAsia" w:ascii="宋体" w:hAnsi="宋体" w:cs="宋体"/>
        </w:rPr>
        <w:t>供应商</w:t>
      </w:r>
      <w:r>
        <w:rPr>
          <w:rFonts w:hint="eastAsia" w:ascii="宋体" w:hAnsi="宋体"/>
          <w:color w:val="000000"/>
        </w:rPr>
        <w:t>自接到报障时起算，1小时内响应，</w:t>
      </w:r>
      <w:r>
        <w:rPr>
          <w:rFonts w:hint="eastAsia" w:ascii="宋体" w:hAnsi="宋体"/>
          <w:bCs/>
          <w:color w:val="000000"/>
        </w:rPr>
        <w:t>若远程维护无法解决，</w:t>
      </w:r>
      <w:r>
        <w:rPr>
          <w:rFonts w:hint="eastAsia" w:ascii="宋体" w:hAnsi="宋体"/>
          <w:color w:val="000000"/>
        </w:rPr>
        <w:t>4小时内到达现场，8小时内解决问题。如果产品故障在规定时间内仍无法排除，</w:t>
      </w:r>
      <w:r>
        <w:rPr>
          <w:rFonts w:hint="eastAsia" w:ascii="宋体" w:hAnsi="宋体" w:cs="宋体"/>
        </w:rPr>
        <w:t>供应商</w:t>
      </w:r>
      <w:r>
        <w:rPr>
          <w:rFonts w:hint="eastAsia" w:ascii="宋体" w:hAnsi="宋体"/>
          <w:color w:val="000000"/>
        </w:rPr>
        <w:t>应在随后24小时内提供不低于故障产品规格、型号和档次的备用产品供采购人代替使用</w:t>
      </w:r>
      <w:r>
        <w:rPr>
          <w:rFonts w:hint="eastAsia" w:ascii="宋体" w:hAnsi="宋体"/>
          <w:bCs/>
          <w:color w:val="000000"/>
        </w:rPr>
        <w:t>或采取应急措施解决</w:t>
      </w:r>
      <w:r>
        <w:rPr>
          <w:rFonts w:hint="eastAsia" w:ascii="宋体" w:hAnsi="宋体"/>
          <w:color w:val="000000"/>
        </w:rPr>
        <w:t>，直至故障产品修复，确保系统的正常使用。</w:t>
      </w:r>
    </w:p>
    <w:p>
      <w:pPr>
        <w:ind w:firstLine="480" w:firstLineChars="200"/>
        <w:rPr>
          <w:rFonts w:ascii="宋体" w:hAnsi="宋体"/>
          <w:color w:val="000000"/>
        </w:rPr>
      </w:pPr>
      <w:r>
        <w:rPr>
          <w:rFonts w:hint="eastAsia" w:ascii="宋体" w:hAnsi="宋体"/>
          <w:color w:val="000000"/>
        </w:rPr>
        <w:t>（3）</w:t>
      </w:r>
      <w:r>
        <w:rPr>
          <w:rFonts w:hint="eastAsia" w:ascii="宋体" w:hAnsi="宋体" w:cs="宋体"/>
        </w:rPr>
        <w:t>供应商</w:t>
      </w:r>
      <w:r>
        <w:rPr>
          <w:rFonts w:ascii="宋体" w:hAnsi="宋体"/>
          <w:color w:val="000000"/>
        </w:rPr>
        <w:t>须负责</w:t>
      </w:r>
      <w:r>
        <w:rPr>
          <w:rFonts w:hint="eastAsia" w:ascii="宋体" w:hAnsi="宋体"/>
          <w:color w:val="000000"/>
        </w:rPr>
        <w:t>免费培训采购人的使用人员，直至相关的使用人员完全掌握产品的操作、日常维护保养及简单维修方法。</w:t>
      </w:r>
    </w:p>
    <w:p>
      <w:pPr>
        <w:ind w:firstLine="480" w:firstLineChars="200"/>
        <w:rPr>
          <w:rFonts w:ascii="宋体" w:hAnsi="宋体"/>
          <w:color w:val="000000"/>
        </w:rPr>
      </w:pPr>
      <w:r>
        <w:rPr>
          <w:rFonts w:hint="eastAsia" w:ascii="宋体" w:hAnsi="宋体"/>
          <w:color w:val="000000"/>
        </w:rPr>
        <w:t>（4）每个季度对设备进行检测，确认设备工作正常，巡检时要对终端进行除尘、软件升级、规则库升级等。</w:t>
      </w:r>
    </w:p>
    <w:p>
      <w:pPr>
        <w:pStyle w:val="22"/>
        <w:numPr>
          <w:ilvl w:val="0"/>
          <w:numId w:val="8"/>
        </w:numPr>
        <w:ind w:firstLineChars="0"/>
        <w:rPr>
          <w:rFonts w:ascii="宋体" w:hAnsi="宋体" w:cs="Arial"/>
          <w:kern w:val="11"/>
        </w:rPr>
      </w:pPr>
      <w:r>
        <w:rPr>
          <w:rFonts w:hint="eastAsia" w:ascii="宋体" w:hAnsi="宋体" w:cs="Arial"/>
          <w:kern w:val="11"/>
        </w:rPr>
        <w:t>投标报价应为人民币含税全包价，包括产品的供应、运输、装卸、安装调试、培训及验收费等一切费用。</w:t>
      </w:r>
    </w:p>
    <w:p>
      <w:pPr>
        <w:pStyle w:val="22"/>
        <w:numPr>
          <w:ilvl w:val="0"/>
          <w:numId w:val="8"/>
        </w:numPr>
        <w:ind w:firstLineChars="0"/>
        <w:rPr>
          <w:rFonts w:ascii="宋体" w:hAnsi="宋体" w:cs="Arial"/>
          <w:kern w:val="11"/>
        </w:rPr>
      </w:pPr>
      <w:r>
        <w:rPr>
          <w:rFonts w:hint="eastAsia" w:ascii="宋体" w:hAnsi="宋体" w:cs="Arial"/>
          <w:kern w:val="11"/>
        </w:rPr>
        <w:t>交货期：合同签订生效后15个日历日内完成交货、安装调试及验收。</w:t>
      </w:r>
    </w:p>
    <w:p>
      <w:pPr>
        <w:pStyle w:val="22"/>
        <w:numPr>
          <w:ilvl w:val="0"/>
          <w:numId w:val="8"/>
        </w:numPr>
        <w:ind w:firstLineChars="0"/>
        <w:rPr>
          <w:rFonts w:ascii="宋体" w:hAnsi="宋体" w:cs="Arial"/>
          <w:kern w:val="11"/>
          <w:highlight w:val="none"/>
        </w:rPr>
      </w:pPr>
      <w:r>
        <w:rPr>
          <w:rFonts w:hint="eastAsia" w:ascii="宋体" w:hAnsi="宋体" w:cs="Arial"/>
          <w:kern w:val="11"/>
          <w:highlight w:val="none"/>
        </w:rPr>
        <w:t>安装</w:t>
      </w:r>
      <w:r>
        <w:rPr>
          <w:rFonts w:hint="eastAsia" w:ascii="宋体" w:hAnsi="宋体"/>
          <w:color w:val="000000"/>
          <w:highlight w:val="none"/>
        </w:rPr>
        <w:t>调试</w:t>
      </w:r>
      <w:r>
        <w:rPr>
          <w:rFonts w:hint="eastAsia" w:ascii="宋体" w:hAnsi="宋体" w:cs="Arial"/>
          <w:kern w:val="11"/>
          <w:highlight w:val="none"/>
        </w:rPr>
        <w:t>：</w:t>
      </w:r>
    </w:p>
    <w:p>
      <w:pPr>
        <w:ind w:firstLine="480" w:firstLineChars="200"/>
        <w:rPr>
          <w:rFonts w:ascii="宋体" w:hAnsi="宋体" w:cs="Arial"/>
          <w:kern w:val="11"/>
          <w:highlight w:val="none"/>
        </w:rPr>
      </w:pPr>
      <w:r>
        <w:rPr>
          <w:rFonts w:hint="eastAsia" w:ascii="宋体" w:hAnsi="宋体" w:cs="Arial"/>
          <w:kern w:val="11"/>
          <w:highlight w:val="none"/>
        </w:rPr>
        <w:t>(1) 供应商负责将原使用设备上的所有数据无缝迁移至本项目采购设备上，包括但不限于如策略、用户账户、登录密钥等；鉴于区政府网络安全保障的连续性重要性，割接时间要控制在两小时内，实施前须提交详细割接实施及保障方案，内容包括但不限于：现状情况、准备情况、人员安排、割接流程、割接时间及计划（正常工作日内禁止割接）、业务验证、风险评估、回退及值守应急处理。</w:t>
      </w:r>
    </w:p>
    <w:p>
      <w:pPr>
        <w:ind w:firstLine="480" w:firstLineChars="200"/>
        <w:rPr>
          <w:rFonts w:ascii="宋体" w:hAnsi="宋体" w:cs="Arial"/>
          <w:kern w:val="11"/>
          <w:highlight w:val="none"/>
        </w:rPr>
      </w:pPr>
      <w:r>
        <w:rPr>
          <w:rFonts w:hint="eastAsia" w:ascii="宋体" w:hAnsi="宋体" w:cs="Arial"/>
          <w:kern w:val="11"/>
          <w:highlight w:val="none"/>
        </w:rPr>
        <w:t>(2) 供应商须安排原厂工程师负责设备的现场安装和调试，按合同规定的时间完成交货、安装、调试和验收。在设备的安装、调试、试运行期间，供应商应负责安装调试人员的一切费用。</w:t>
      </w:r>
    </w:p>
    <w:p>
      <w:pPr>
        <w:ind w:firstLine="480" w:firstLineChars="200"/>
        <w:rPr>
          <w:rFonts w:ascii="宋体" w:hAnsi="宋体" w:cs="Arial"/>
          <w:kern w:val="11"/>
          <w:highlight w:val="none"/>
        </w:rPr>
      </w:pPr>
      <w:r>
        <w:rPr>
          <w:rFonts w:hint="eastAsia" w:ascii="宋体" w:hAnsi="宋体" w:cs="Arial"/>
          <w:kern w:val="11"/>
          <w:highlight w:val="none"/>
        </w:rPr>
        <w:t>(3)设备安装及割接完成后，供应商须提供不小于1名工程师在现场值守30个工作日，提供设备运行监测、故障及应急处理、系统分析及优化等保障服务工作，并做好相关记录。</w:t>
      </w:r>
    </w:p>
    <w:p>
      <w:pPr>
        <w:pStyle w:val="22"/>
        <w:numPr>
          <w:ilvl w:val="0"/>
          <w:numId w:val="8"/>
        </w:numPr>
        <w:ind w:firstLineChars="0"/>
        <w:rPr>
          <w:rFonts w:ascii="宋体" w:hAnsi="宋体" w:cs="Arial"/>
          <w:kern w:val="11"/>
        </w:rPr>
      </w:pPr>
      <w:r>
        <w:rPr>
          <w:rFonts w:hint="eastAsia" w:ascii="宋体" w:hAnsi="宋体"/>
          <w:color w:val="000000"/>
        </w:rPr>
        <w:t>验收</w:t>
      </w:r>
    </w:p>
    <w:p>
      <w:pPr>
        <w:ind w:firstLine="480" w:firstLineChars="200"/>
        <w:rPr>
          <w:rFonts w:ascii="宋体" w:hAnsi="宋体" w:cs="Arial"/>
          <w:kern w:val="11"/>
        </w:rPr>
      </w:pPr>
      <w:r>
        <w:rPr>
          <w:rFonts w:hint="eastAsia" w:ascii="宋体" w:hAnsi="宋体" w:cs="Arial"/>
          <w:kern w:val="11"/>
        </w:rPr>
        <w:t>（1）验收标准：以国家标准、采购文件、投标文件和所签采购合同的相关条款为标准；</w:t>
      </w:r>
    </w:p>
    <w:p>
      <w:pPr>
        <w:ind w:firstLine="480" w:firstLineChars="200"/>
        <w:rPr>
          <w:rFonts w:ascii="宋体" w:hAnsi="宋体" w:cs="Arial"/>
          <w:kern w:val="11"/>
        </w:rPr>
      </w:pPr>
      <w:r>
        <w:rPr>
          <w:rFonts w:hint="eastAsia" w:ascii="宋体" w:hAnsi="宋体" w:cs="Arial"/>
          <w:kern w:val="11"/>
        </w:rPr>
        <w:t>（2）验收合格后由中标</w:t>
      </w:r>
      <w:r>
        <w:rPr>
          <w:rFonts w:hint="eastAsia" w:ascii="宋体" w:hAnsi="宋体" w:cs="宋体"/>
        </w:rPr>
        <w:t>供应商</w:t>
      </w:r>
      <w:r>
        <w:rPr>
          <w:rFonts w:hint="eastAsia" w:ascii="宋体" w:hAnsi="宋体" w:cs="Arial"/>
          <w:kern w:val="11"/>
        </w:rPr>
        <w:t>和采购人双方共同签字确认。</w:t>
      </w:r>
    </w:p>
    <w:p>
      <w:pPr>
        <w:pStyle w:val="22"/>
        <w:numPr>
          <w:ilvl w:val="0"/>
          <w:numId w:val="8"/>
        </w:numPr>
        <w:ind w:firstLineChars="0"/>
        <w:rPr>
          <w:rFonts w:ascii="宋体" w:hAnsi="宋体" w:cs="Arial"/>
          <w:kern w:val="11"/>
        </w:rPr>
      </w:pPr>
      <w:r>
        <w:rPr>
          <w:rFonts w:hint="eastAsia" w:ascii="宋体" w:hAnsi="宋体" w:cs="Arial"/>
          <w:kern w:val="11"/>
        </w:rPr>
        <w:t>结算</w:t>
      </w:r>
      <w:r>
        <w:rPr>
          <w:rFonts w:hint="eastAsia" w:ascii="宋体" w:hAnsi="宋体"/>
          <w:color w:val="000000"/>
        </w:rPr>
        <w:t>方式</w:t>
      </w:r>
    </w:p>
    <w:p>
      <w:pPr>
        <w:pStyle w:val="13"/>
        <w:spacing w:line="360" w:lineRule="auto"/>
        <w:ind w:firstLine="480" w:firstLineChars="200"/>
        <w:rPr>
          <w:rFonts w:hAnsi="宋体"/>
          <w:sz w:val="24"/>
        </w:rPr>
      </w:pPr>
      <w:r>
        <w:rPr>
          <w:rFonts w:hint="eastAsia" w:hAnsi="宋体"/>
          <w:sz w:val="24"/>
        </w:rPr>
        <w:t>付款方式：分期付款</w:t>
      </w:r>
    </w:p>
    <w:p>
      <w:pPr>
        <w:ind w:firstLine="480" w:firstLineChars="200"/>
        <w:rPr>
          <w:rFonts w:ascii="宋体" w:hAnsi="宋体"/>
          <w:color w:val="000000"/>
        </w:rPr>
      </w:pPr>
      <w:r>
        <w:rPr>
          <w:rFonts w:hint="eastAsia" w:ascii="宋体" w:hAnsi="宋体"/>
          <w:color w:val="000000"/>
        </w:rPr>
        <w:t>第一期款：采购合同签订并生效之日起的15日内由采购人支付10</w:t>
      </w:r>
      <w:r>
        <w:rPr>
          <w:rFonts w:hint="eastAsia" w:ascii="宋体" w:hAnsi="宋体"/>
          <w:color w:val="000000"/>
          <w:lang w:eastAsia="zh-CN"/>
        </w:rPr>
        <w:t>万元</w:t>
      </w:r>
      <w:r>
        <w:rPr>
          <w:rFonts w:hint="eastAsia" w:ascii="宋体" w:hAnsi="宋体"/>
          <w:color w:val="000000"/>
        </w:rPr>
        <w:t>给中标供应</w:t>
      </w:r>
      <w:r>
        <w:rPr>
          <w:rFonts w:hint="eastAsia" w:ascii="宋体" w:hAnsi="宋体" w:cs="宋体"/>
        </w:rPr>
        <w:t>商</w:t>
      </w:r>
      <w:r>
        <w:rPr>
          <w:rFonts w:hint="eastAsia" w:ascii="宋体" w:hAnsi="宋体"/>
          <w:color w:val="000000"/>
        </w:rPr>
        <w:t>；</w:t>
      </w:r>
    </w:p>
    <w:p>
      <w:pPr>
        <w:ind w:firstLine="480" w:firstLineChars="200"/>
        <w:rPr>
          <w:rFonts w:hint="default" w:ascii="宋体" w:hAnsi="宋体" w:eastAsia="宋体"/>
          <w:bCs/>
          <w:color w:val="000000"/>
          <w:lang w:val="en-US" w:eastAsia="zh-CN"/>
        </w:rPr>
      </w:pPr>
      <w:r>
        <w:rPr>
          <w:rFonts w:hint="eastAsia" w:ascii="宋体" w:hAnsi="宋体"/>
          <w:color w:val="000000"/>
        </w:rPr>
        <w:t>第二期款：在货物运抵交货地点，完成安装和调试并经双方验收合格之日</w:t>
      </w:r>
      <w:r>
        <w:rPr>
          <w:rFonts w:hint="eastAsia" w:ascii="宋体" w:hAnsi="宋体"/>
          <w:color w:val="000000"/>
          <w:lang w:eastAsia="zh-CN"/>
        </w:rPr>
        <w:t>后</w:t>
      </w:r>
      <w:r>
        <w:rPr>
          <w:rFonts w:hint="eastAsia" w:ascii="宋体" w:hAnsi="宋体"/>
          <w:color w:val="000000"/>
          <w:lang w:val="en-US" w:eastAsia="zh-CN"/>
        </w:rPr>
        <w:t>2023年内支付剩余款项。</w:t>
      </w:r>
    </w:p>
    <w:p>
      <w:pPr>
        <w:pStyle w:val="22"/>
        <w:numPr>
          <w:ilvl w:val="0"/>
          <w:numId w:val="8"/>
        </w:numPr>
        <w:ind w:firstLineChars="0"/>
        <w:rPr>
          <w:rFonts w:ascii="宋体" w:hAnsi="宋体" w:cs="宋体"/>
        </w:rPr>
      </w:pPr>
      <w:r>
        <w:rPr>
          <w:rFonts w:hint="eastAsia" w:ascii="宋体" w:hAnsi="宋体"/>
          <w:color w:val="000000"/>
        </w:rPr>
        <w:t>其他</w:t>
      </w:r>
    </w:p>
    <w:p>
      <w:pPr>
        <w:ind w:firstLine="480" w:firstLineChars="200"/>
        <w:rPr>
          <w:rFonts w:ascii="宋体" w:hAnsi="宋体" w:cs="宋体"/>
        </w:rPr>
      </w:pPr>
      <w:r>
        <w:rPr>
          <w:rFonts w:hint="eastAsia" w:ascii="宋体" w:hAnsi="宋体" w:cs="宋体"/>
        </w:rPr>
        <w:t>（1）供应商不得将本项目中的内容拆散来投标。</w:t>
      </w:r>
    </w:p>
    <w:p>
      <w:pPr>
        <w:ind w:firstLine="480" w:firstLineChars="200"/>
        <w:rPr>
          <w:rFonts w:ascii="宋体" w:hAnsi="宋体" w:cs="宋体"/>
        </w:rPr>
      </w:pPr>
      <w:r>
        <w:rPr>
          <w:rFonts w:hint="eastAsia" w:ascii="宋体" w:hAnsi="宋体" w:cs="宋体"/>
        </w:rPr>
        <w:t>（2）上述要求的工艺、材料和设备的标准以及参照的牌号或分类号仅起说明作用，并没有任何限制性，而是作为共同报价的基础，以方便采购人对供应商进行比较。供应商在投标中可以选用替代标准、牌号或分类号，但这些替代要实质上相当于技术规格的要求，质量和性能不得低于采购人的要求，满足采购人的使用要求。</w:t>
      </w:r>
    </w:p>
    <w:p>
      <w:pPr>
        <w:pStyle w:val="22"/>
        <w:ind w:left="198" w:firstLine="0" w:firstLineChars="0"/>
        <w:rPr>
          <w:rFonts w:ascii="宋体" w:hAnsi="宋体"/>
          <w:sz w:val="22"/>
          <w:szCs w:val="22"/>
        </w:rPr>
      </w:pPr>
    </w:p>
    <w:p>
      <w:pPr>
        <w:pStyle w:val="3"/>
        <w:numPr>
          <w:ilvl w:val="0"/>
          <w:numId w:val="3"/>
        </w:numPr>
        <w:spacing w:before="0" w:after="0"/>
        <w:jc w:val="left"/>
        <w:rPr>
          <w:rFonts w:ascii="黑体" w:hAnsi="黑体" w:eastAsia="黑体" w:cs="黑体"/>
          <w:bCs/>
          <w:kern w:val="0"/>
          <w:sz w:val="32"/>
          <w:szCs w:val="32"/>
          <w:lang w:val="zh-CN"/>
        </w:rPr>
      </w:pPr>
      <w:r>
        <w:rPr>
          <w:rFonts w:hint="eastAsia" w:ascii="黑体" w:hAnsi="黑体" w:eastAsia="黑体" w:cs="黑体"/>
          <w:bCs/>
          <w:kern w:val="0"/>
          <w:sz w:val="32"/>
          <w:szCs w:val="32"/>
          <w:lang w:val="zh-CN"/>
        </w:rPr>
        <w:t>选定原则与中标方法</w:t>
      </w:r>
    </w:p>
    <w:p>
      <w:pPr>
        <w:pStyle w:val="4"/>
        <w:numPr>
          <w:ilvl w:val="1"/>
          <w:numId w:val="9"/>
        </w:numPr>
        <w:spacing w:before="156" w:beforeLines="50" w:after="156" w:afterLines="50"/>
        <w:rPr>
          <w:rFonts w:ascii="宋体" w:hAnsi="宋体" w:eastAsia="宋体"/>
          <w:sz w:val="24"/>
          <w:szCs w:val="24"/>
        </w:rPr>
      </w:pPr>
      <w:r>
        <w:rPr>
          <w:rFonts w:hint="eastAsia" w:ascii="宋体" w:hAnsi="宋体" w:eastAsia="宋体"/>
          <w:sz w:val="24"/>
          <w:szCs w:val="24"/>
        </w:rPr>
        <w:t>按能够最大限度地满足采购需求文件中规定的各项综合标准的原则选定。</w:t>
      </w:r>
    </w:p>
    <w:p>
      <w:pPr>
        <w:pStyle w:val="4"/>
        <w:numPr>
          <w:ilvl w:val="1"/>
          <w:numId w:val="9"/>
        </w:numPr>
        <w:spacing w:before="156" w:beforeLines="50" w:after="156" w:afterLines="50"/>
        <w:rPr>
          <w:rFonts w:ascii="宋体" w:hAnsi="宋体" w:eastAsia="宋体"/>
          <w:sz w:val="24"/>
          <w:szCs w:val="24"/>
        </w:rPr>
      </w:pPr>
      <w:r>
        <w:rPr>
          <w:rFonts w:hint="eastAsia" w:ascii="宋体" w:hAnsi="宋体" w:eastAsia="宋体"/>
          <w:sz w:val="24"/>
          <w:szCs w:val="24"/>
        </w:rPr>
        <w:t>本次以采购需求文件中规定的条件为原则，最低报价不作为选定中标的唯一依据。</w:t>
      </w:r>
    </w:p>
    <w:sectPr>
      <w:pgSz w:w="11906" w:h="16838"/>
      <w:pgMar w:top="1440" w:right="991" w:bottom="1440" w:left="1276"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CC7EBF"/>
    <w:multiLevelType w:val="multilevel"/>
    <w:tmpl w:val="11CC7EBF"/>
    <w:lvl w:ilvl="0" w:tentative="0">
      <w:start w:val="1"/>
      <w:numFmt w:val="chineseCountingThousand"/>
      <w:pStyle w:val="3"/>
      <w:lvlText w:val="第%1章"/>
      <w:lvlJc w:val="left"/>
      <w:pPr>
        <w:ind w:left="283" w:firstLine="0"/>
      </w:pPr>
      <w:rPr>
        <w:rFonts w:hint="eastAsia" w:ascii="宋体" w:hAnsi="宋体" w:eastAsia="宋体"/>
        <w:sz w:val="44"/>
        <w:szCs w:val="44"/>
      </w:rPr>
    </w:lvl>
    <w:lvl w:ilvl="1" w:tentative="0">
      <w:start w:val="1"/>
      <w:numFmt w:val="decimal"/>
      <w:pStyle w:val="4"/>
      <w:lvlText w:val="%2."/>
      <w:lvlJc w:val="left"/>
      <w:pPr>
        <w:ind w:left="703" w:hanging="420"/>
      </w:pPr>
      <w:rPr>
        <w:rFonts w:hint="eastAsia"/>
      </w:rPr>
    </w:lvl>
    <w:lvl w:ilvl="2" w:tentative="0">
      <w:start w:val="1"/>
      <w:numFmt w:val="decimal"/>
      <w:pStyle w:val="5"/>
      <w:suff w:val="nothing"/>
      <w:lvlText w:val="%3 "/>
      <w:lvlJc w:val="left"/>
      <w:pPr>
        <w:ind w:left="283" w:firstLine="0"/>
      </w:pPr>
      <w:rPr>
        <w:rFonts w:hint="eastAsia"/>
      </w:rPr>
    </w:lvl>
    <w:lvl w:ilvl="3" w:tentative="0">
      <w:start w:val="1"/>
      <w:numFmt w:val="none"/>
      <w:suff w:val="nothing"/>
      <w:lvlText w:val=""/>
      <w:lvlJc w:val="left"/>
      <w:pPr>
        <w:ind w:left="283" w:firstLine="0"/>
      </w:pPr>
      <w:rPr>
        <w:rFonts w:hint="eastAsia"/>
      </w:rPr>
    </w:lvl>
    <w:lvl w:ilvl="4" w:tentative="0">
      <w:start w:val="1"/>
      <w:numFmt w:val="none"/>
      <w:pStyle w:val="7"/>
      <w:suff w:val="nothing"/>
      <w:lvlText w:val=""/>
      <w:lvlJc w:val="left"/>
      <w:pPr>
        <w:ind w:left="283" w:firstLine="0"/>
      </w:pPr>
      <w:rPr>
        <w:rFonts w:hint="eastAsia"/>
      </w:rPr>
    </w:lvl>
    <w:lvl w:ilvl="5" w:tentative="0">
      <w:start w:val="1"/>
      <w:numFmt w:val="none"/>
      <w:pStyle w:val="8"/>
      <w:suff w:val="nothing"/>
      <w:lvlText w:val=""/>
      <w:lvlJc w:val="left"/>
      <w:pPr>
        <w:ind w:left="283" w:firstLine="0"/>
      </w:pPr>
      <w:rPr>
        <w:rFonts w:hint="eastAsia"/>
      </w:rPr>
    </w:lvl>
    <w:lvl w:ilvl="6" w:tentative="0">
      <w:start w:val="1"/>
      <w:numFmt w:val="none"/>
      <w:pStyle w:val="9"/>
      <w:suff w:val="nothing"/>
      <w:lvlText w:val=""/>
      <w:lvlJc w:val="left"/>
      <w:pPr>
        <w:ind w:left="283" w:firstLine="0"/>
      </w:pPr>
      <w:rPr>
        <w:rFonts w:hint="eastAsia"/>
      </w:rPr>
    </w:lvl>
    <w:lvl w:ilvl="7" w:tentative="0">
      <w:start w:val="1"/>
      <w:numFmt w:val="none"/>
      <w:pStyle w:val="10"/>
      <w:suff w:val="nothing"/>
      <w:lvlText w:val=""/>
      <w:lvlJc w:val="left"/>
      <w:pPr>
        <w:ind w:left="283" w:firstLine="0"/>
      </w:pPr>
      <w:rPr>
        <w:rFonts w:hint="eastAsia"/>
      </w:rPr>
    </w:lvl>
    <w:lvl w:ilvl="8" w:tentative="0">
      <w:start w:val="1"/>
      <w:numFmt w:val="none"/>
      <w:pStyle w:val="11"/>
      <w:suff w:val="nothing"/>
      <w:lvlText w:val=""/>
      <w:lvlJc w:val="left"/>
      <w:pPr>
        <w:ind w:left="283" w:firstLine="0"/>
      </w:pPr>
      <w:rPr>
        <w:rFonts w:hint="eastAsia"/>
      </w:rPr>
    </w:lvl>
  </w:abstractNum>
  <w:abstractNum w:abstractNumId="1">
    <w:nsid w:val="1BC32B5D"/>
    <w:multiLevelType w:val="multilevel"/>
    <w:tmpl w:val="1BC32B5D"/>
    <w:lvl w:ilvl="0" w:tentative="0">
      <w:start w:val="1"/>
      <w:numFmt w:val="japaneseCounting"/>
      <w:lvlText w:val="%1、"/>
      <w:lvlJc w:val="left"/>
      <w:pPr>
        <w:ind w:left="640" w:hanging="640"/>
      </w:pPr>
      <w:rPr>
        <w:rFonts w:hint="default" w:ascii="黑体" w:hAnsi="黑体" w:eastAsia="黑体" w:cs="黑体"/>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E846120"/>
    <w:multiLevelType w:val="multilevel"/>
    <w:tmpl w:val="1E84612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2FA93488"/>
    <w:multiLevelType w:val="multilevel"/>
    <w:tmpl w:val="2FA93488"/>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2FC673D2"/>
    <w:multiLevelType w:val="multilevel"/>
    <w:tmpl w:val="2FC673D2"/>
    <w:lvl w:ilvl="0" w:tentative="0">
      <w:start w:val="1"/>
      <w:numFmt w:val="decimal"/>
      <w:pStyle w:val="6"/>
      <w:lvlText w:val="%1."/>
      <w:lvlJc w:val="left"/>
      <w:pPr>
        <w:ind w:left="2122" w:hanging="420"/>
      </w:pPr>
    </w:lvl>
    <w:lvl w:ilvl="1" w:tentative="0">
      <w:start w:val="1"/>
      <w:numFmt w:val="lowerLetter"/>
      <w:lvlText w:val="%2)"/>
      <w:lvlJc w:val="left"/>
      <w:pPr>
        <w:ind w:left="2542" w:hanging="420"/>
      </w:pPr>
    </w:lvl>
    <w:lvl w:ilvl="2" w:tentative="0">
      <w:start w:val="1"/>
      <w:numFmt w:val="lowerRoman"/>
      <w:lvlText w:val="%3."/>
      <w:lvlJc w:val="right"/>
      <w:pPr>
        <w:ind w:left="2962" w:hanging="420"/>
      </w:pPr>
    </w:lvl>
    <w:lvl w:ilvl="3" w:tentative="0">
      <w:start w:val="1"/>
      <w:numFmt w:val="decimal"/>
      <w:lvlText w:val="%4."/>
      <w:lvlJc w:val="left"/>
      <w:pPr>
        <w:ind w:left="3382" w:hanging="420"/>
      </w:pPr>
    </w:lvl>
    <w:lvl w:ilvl="4" w:tentative="0">
      <w:start w:val="1"/>
      <w:numFmt w:val="lowerLetter"/>
      <w:lvlText w:val="%5)"/>
      <w:lvlJc w:val="left"/>
      <w:pPr>
        <w:ind w:left="3802" w:hanging="420"/>
      </w:pPr>
    </w:lvl>
    <w:lvl w:ilvl="5" w:tentative="0">
      <w:start w:val="1"/>
      <w:numFmt w:val="lowerRoman"/>
      <w:lvlText w:val="%6."/>
      <w:lvlJc w:val="right"/>
      <w:pPr>
        <w:ind w:left="4222" w:hanging="420"/>
      </w:pPr>
    </w:lvl>
    <w:lvl w:ilvl="6" w:tentative="0">
      <w:start w:val="1"/>
      <w:numFmt w:val="decimal"/>
      <w:lvlText w:val="%7."/>
      <w:lvlJc w:val="left"/>
      <w:pPr>
        <w:ind w:left="4642" w:hanging="420"/>
      </w:pPr>
    </w:lvl>
    <w:lvl w:ilvl="7" w:tentative="0">
      <w:start w:val="1"/>
      <w:numFmt w:val="lowerLetter"/>
      <w:lvlText w:val="%8)"/>
      <w:lvlJc w:val="left"/>
      <w:pPr>
        <w:ind w:left="5062" w:hanging="420"/>
      </w:pPr>
    </w:lvl>
    <w:lvl w:ilvl="8" w:tentative="0">
      <w:start w:val="1"/>
      <w:numFmt w:val="lowerRoman"/>
      <w:lvlText w:val="%9."/>
      <w:lvlJc w:val="right"/>
      <w:pPr>
        <w:ind w:left="5482" w:hanging="420"/>
      </w:pPr>
    </w:lvl>
  </w:abstractNum>
  <w:abstractNum w:abstractNumId="5">
    <w:nsid w:val="798F31E8"/>
    <w:multiLevelType w:val="multilevel"/>
    <w:tmpl w:val="798F31E8"/>
    <w:lvl w:ilvl="0" w:tentative="0">
      <w:start w:val="1"/>
      <w:numFmt w:val="decimal"/>
      <w:lvlText w:val="%1)"/>
      <w:lvlJc w:val="left"/>
      <w:pPr>
        <w:ind w:left="900" w:hanging="420"/>
      </w:pPr>
      <w:rPr>
        <w:rFonts w:ascii="宋体" w:hAnsi="宋体" w:eastAsia="宋体"/>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4"/>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3"/>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FjZTQ0OWViZjM4YjllYTEyYmI3NDEwYzE3ODYyMzEifQ=="/>
  </w:docVars>
  <w:rsids>
    <w:rsidRoot w:val="008A7BE8"/>
    <w:rsid w:val="00014E44"/>
    <w:rsid w:val="000238FF"/>
    <w:rsid w:val="00052499"/>
    <w:rsid w:val="0005488B"/>
    <w:rsid w:val="000A727D"/>
    <w:rsid w:val="000B71EA"/>
    <w:rsid w:val="000B7DE2"/>
    <w:rsid w:val="000C3A33"/>
    <w:rsid w:val="000C7FCB"/>
    <w:rsid w:val="000D70B5"/>
    <w:rsid w:val="000E0F7D"/>
    <w:rsid w:val="000F467C"/>
    <w:rsid w:val="000F6EEB"/>
    <w:rsid w:val="00100B02"/>
    <w:rsid w:val="00121A82"/>
    <w:rsid w:val="00122F54"/>
    <w:rsid w:val="0018225D"/>
    <w:rsid w:val="001B310E"/>
    <w:rsid w:val="001E3F54"/>
    <w:rsid w:val="0021202D"/>
    <w:rsid w:val="00212B8A"/>
    <w:rsid w:val="002156B9"/>
    <w:rsid w:val="00233069"/>
    <w:rsid w:val="00237AEF"/>
    <w:rsid w:val="00286C15"/>
    <w:rsid w:val="002950B4"/>
    <w:rsid w:val="002956EE"/>
    <w:rsid w:val="002A7450"/>
    <w:rsid w:val="002D2165"/>
    <w:rsid w:val="002E0F36"/>
    <w:rsid w:val="00307F0C"/>
    <w:rsid w:val="00314E2A"/>
    <w:rsid w:val="00360956"/>
    <w:rsid w:val="00374B0E"/>
    <w:rsid w:val="00395858"/>
    <w:rsid w:val="003C6CD8"/>
    <w:rsid w:val="004035C8"/>
    <w:rsid w:val="00417902"/>
    <w:rsid w:val="004471A8"/>
    <w:rsid w:val="00480B1D"/>
    <w:rsid w:val="00480C7B"/>
    <w:rsid w:val="004A1C5B"/>
    <w:rsid w:val="004B0954"/>
    <w:rsid w:val="004F1CB3"/>
    <w:rsid w:val="00504E38"/>
    <w:rsid w:val="005157E2"/>
    <w:rsid w:val="00544460"/>
    <w:rsid w:val="00570FF7"/>
    <w:rsid w:val="005836C3"/>
    <w:rsid w:val="005D75F7"/>
    <w:rsid w:val="005F6054"/>
    <w:rsid w:val="006275EC"/>
    <w:rsid w:val="00642CE4"/>
    <w:rsid w:val="00654BD9"/>
    <w:rsid w:val="00692660"/>
    <w:rsid w:val="006A141C"/>
    <w:rsid w:val="006E4963"/>
    <w:rsid w:val="006F30DA"/>
    <w:rsid w:val="00703C67"/>
    <w:rsid w:val="007637B1"/>
    <w:rsid w:val="007A1A97"/>
    <w:rsid w:val="008126C2"/>
    <w:rsid w:val="008219D9"/>
    <w:rsid w:val="00834A2A"/>
    <w:rsid w:val="008373C2"/>
    <w:rsid w:val="00837810"/>
    <w:rsid w:val="0086027E"/>
    <w:rsid w:val="0087235A"/>
    <w:rsid w:val="00875930"/>
    <w:rsid w:val="008924FC"/>
    <w:rsid w:val="00893734"/>
    <w:rsid w:val="008A7BE8"/>
    <w:rsid w:val="008C08A9"/>
    <w:rsid w:val="008D070D"/>
    <w:rsid w:val="00912239"/>
    <w:rsid w:val="00935841"/>
    <w:rsid w:val="00947C59"/>
    <w:rsid w:val="009767CE"/>
    <w:rsid w:val="009D180E"/>
    <w:rsid w:val="009E07BB"/>
    <w:rsid w:val="009E543E"/>
    <w:rsid w:val="00A24D54"/>
    <w:rsid w:val="00A26C65"/>
    <w:rsid w:val="00A478F9"/>
    <w:rsid w:val="00A53887"/>
    <w:rsid w:val="00A63AE2"/>
    <w:rsid w:val="00AB1E95"/>
    <w:rsid w:val="00B04C4B"/>
    <w:rsid w:val="00B142B5"/>
    <w:rsid w:val="00B358BB"/>
    <w:rsid w:val="00BB35E2"/>
    <w:rsid w:val="00BD5ADA"/>
    <w:rsid w:val="00C07489"/>
    <w:rsid w:val="00C43CB3"/>
    <w:rsid w:val="00C44E14"/>
    <w:rsid w:val="00C73056"/>
    <w:rsid w:val="00C763DA"/>
    <w:rsid w:val="00CD042E"/>
    <w:rsid w:val="00CD65BC"/>
    <w:rsid w:val="00D16C6A"/>
    <w:rsid w:val="00D216BD"/>
    <w:rsid w:val="00D51ED5"/>
    <w:rsid w:val="00D610DB"/>
    <w:rsid w:val="00DC1D0F"/>
    <w:rsid w:val="00DE0D16"/>
    <w:rsid w:val="00E473FD"/>
    <w:rsid w:val="00E56397"/>
    <w:rsid w:val="00E70827"/>
    <w:rsid w:val="00E80789"/>
    <w:rsid w:val="00EC224A"/>
    <w:rsid w:val="00EC4ED0"/>
    <w:rsid w:val="00EC5B9C"/>
    <w:rsid w:val="00EC6AE8"/>
    <w:rsid w:val="00EF38C1"/>
    <w:rsid w:val="00F0006D"/>
    <w:rsid w:val="00F11608"/>
    <w:rsid w:val="00F375AB"/>
    <w:rsid w:val="00F82636"/>
    <w:rsid w:val="00F92C19"/>
    <w:rsid w:val="00FB6D33"/>
    <w:rsid w:val="00FE60FB"/>
    <w:rsid w:val="077A1F3E"/>
    <w:rsid w:val="08DE012D"/>
    <w:rsid w:val="0C6C62F9"/>
    <w:rsid w:val="12906AB9"/>
    <w:rsid w:val="152E4A94"/>
    <w:rsid w:val="161F43DC"/>
    <w:rsid w:val="18383533"/>
    <w:rsid w:val="2383015C"/>
    <w:rsid w:val="25A846C9"/>
    <w:rsid w:val="29C015DB"/>
    <w:rsid w:val="2EE61AE3"/>
    <w:rsid w:val="2FCA5E76"/>
    <w:rsid w:val="3045258A"/>
    <w:rsid w:val="30BB2AFC"/>
    <w:rsid w:val="34B54432"/>
    <w:rsid w:val="34DA79F4"/>
    <w:rsid w:val="38FA0FB5"/>
    <w:rsid w:val="3A03179B"/>
    <w:rsid w:val="3A2213D1"/>
    <w:rsid w:val="3BB80364"/>
    <w:rsid w:val="3BF03FA1"/>
    <w:rsid w:val="3C3C2D43"/>
    <w:rsid w:val="3CC35212"/>
    <w:rsid w:val="3DCB25D0"/>
    <w:rsid w:val="3DEA3E71"/>
    <w:rsid w:val="3E950E30"/>
    <w:rsid w:val="40D7128C"/>
    <w:rsid w:val="42C43F3A"/>
    <w:rsid w:val="45E87CC8"/>
    <w:rsid w:val="470D3C59"/>
    <w:rsid w:val="47370CD6"/>
    <w:rsid w:val="47E726FC"/>
    <w:rsid w:val="49946214"/>
    <w:rsid w:val="49FC6411"/>
    <w:rsid w:val="4D50098E"/>
    <w:rsid w:val="4E3A10AC"/>
    <w:rsid w:val="4E54216E"/>
    <w:rsid w:val="4F2A7373"/>
    <w:rsid w:val="4F86399A"/>
    <w:rsid w:val="4F8922EB"/>
    <w:rsid w:val="4FAD5FDA"/>
    <w:rsid w:val="54501629"/>
    <w:rsid w:val="57EE53E1"/>
    <w:rsid w:val="5D417D61"/>
    <w:rsid w:val="5D59154F"/>
    <w:rsid w:val="5EB32EE1"/>
    <w:rsid w:val="5FB05BF8"/>
    <w:rsid w:val="613A51F3"/>
    <w:rsid w:val="63BD210C"/>
    <w:rsid w:val="68880F3A"/>
    <w:rsid w:val="68921DB9"/>
    <w:rsid w:val="68A11FFC"/>
    <w:rsid w:val="6ABA4776"/>
    <w:rsid w:val="6B855C05"/>
    <w:rsid w:val="6E46167B"/>
    <w:rsid w:val="72165809"/>
    <w:rsid w:val="732857F3"/>
    <w:rsid w:val="73941822"/>
    <w:rsid w:val="73F73418"/>
    <w:rsid w:val="74542618"/>
    <w:rsid w:val="74FA4F6E"/>
    <w:rsid w:val="75F23E97"/>
    <w:rsid w:val="76833998"/>
    <w:rsid w:val="77901BB9"/>
    <w:rsid w:val="779C67B0"/>
    <w:rsid w:val="78B13B95"/>
    <w:rsid w:val="7908577F"/>
    <w:rsid w:val="79450781"/>
    <w:rsid w:val="7BFF73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pPr>
    <w:rPr>
      <w:rFonts w:ascii="Times New Roman" w:hAnsi="Times New Roman" w:eastAsia="宋体" w:cs="Times New Roman"/>
      <w:kern w:val="2"/>
      <w:sz w:val="24"/>
      <w:szCs w:val="21"/>
      <w:lang w:val="en-US" w:eastAsia="zh-CN" w:bidi="ar-SA"/>
    </w:rPr>
  </w:style>
  <w:style w:type="paragraph" w:styleId="3">
    <w:name w:val="heading 1"/>
    <w:basedOn w:val="1"/>
    <w:next w:val="1"/>
    <w:link w:val="23"/>
    <w:qFormat/>
    <w:uiPriority w:val="9"/>
    <w:pPr>
      <w:keepNext/>
      <w:keepLines/>
      <w:widowControl w:val="0"/>
      <w:numPr>
        <w:ilvl w:val="0"/>
        <w:numId w:val="1"/>
      </w:numPr>
      <w:spacing w:before="340" w:after="330"/>
      <w:jc w:val="center"/>
      <w:outlineLvl w:val="0"/>
    </w:pPr>
    <w:rPr>
      <w:rFonts w:ascii="楷体_GB2312" w:eastAsia="楷体_GB2312"/>
      <w:b/>
      <w:kern w:val="44"/>
      <w:sz w:val="30"/>
      <w:szCs w:val="44"/>
    </w:rPr>
  </w:style>
  <w:style w:type="paragraph" w:styleId="4">
    <w:name w:val="heading 2"/>
    <w:basedOn w:val="1"/>
    <w:next w:val="1"/>
    <w:link w:val="24"/>
    <w:qFormat/>
    <w:uiPriority w:val="9"/>
    <w:pPr>
      <w:keepNext/>
      <w:keepLines/>
      <w:widowControl w:val="0"/>
      <w:numPr>
        <w:ilvl w:val="1"/>
        <w:numId w:val="1"/>
      </w:numPr>
      <w:spacing w:before="260" w:after="260"/>
      <w:jc w:val="both"/>
      <w:outlineLvl w:val="1"/>
    </w:pPr>
    <w:rPr>
      <w:rFonts w:ascii="Arial" w:hAnsi="Arial" w:eastAsia="黑体"/>
      <w:b/>
      <w:sz w:val="32"/>
      <w:szCs w:val="32"/>
    </w:rPr>
  </w:style>
  <w:style w:type="paragraph" w:styleId="5">
    <w:name w:val="heading 3"/>
    <w:basedOn w:val="1"/>
    <w:next w:val="1"/>
    <w:link w:val="32"/>
    <w:qFormat/>
    <w:uiPriority w:val="9"/>
    <w:pPr>
      <w:keepNext/>
      <w:keepLines/>
      <w:numPr>
        <w:ilvl w:val="2"/>
        <w:numId w:val="1"/>
      </w:numPr>
      <w:spacing w:before="260" w:after="260" w:line="416" w:lineRule="auto"/>
      <w:outlineLvl w:val="2"/>
    </w:pPr>
    <w:rPr>
      <w:b/>
      <w:bCs/>
      <w:kern w:val="0"/>
      <w:sz w:val="32"/>
      <w:szCs w:val="32"/>
    </w:rPr>
  </w:style>
  <w:style w:type="paragraph" w:styleId="6">
    <w:name w:val="heading 4"/>
    <w:basedOn w:val="1"/>
    <w:next w:val="1"/>
    <w:link w:val="26"/>
    <w:qFormat/>
    <w:uiPriority w:val="9"/>
    <w:pPr>
      <w:keepNext/>
      <w:keepLines/>
      <w:widowControl w:val="0"/>
      <w:numPr>
        <w:ilvl w:val="0"/>
        <w:numId w:val="2"/>
      </w:numPr>
      <w:tabs>
        <w:tab w:val="left" w:pos="851"/>
      </w:tabs>
      <w:spacing w:beforeLines="50" w:afterLines="50"/>
      <w:jc w:val="both"/>
      <w:outlineLvl w:val="3"/>
    </w:pPr>
    <w:rPr>
      <w:rFonts w:ascii="Arial" w:hAnsi="Arial"/>
      <w:b/>
      <w:bCs/>
      <w:sz w:val="28"/>
      <w:szCs w:val="28"/>
    </w:rPr>
  </w:style>
  <w:style w:type="paragraph" w:styleId="7">
    <w:name w:val="heading 5"/>
    <w:basedOn w:val="1"/>
    <w:next w:val="1"/>
    <w:link w:val="27"/>
    <w:qFormat/>
    <w:uiPriority w:val="0"/>
    <w:pPr>
      <w:keepNext/>
      <w:keepLines/>
      <w:widowControl w:val="0"/>
      <w:numPr>
        <w:ilvl w:val="4"/>
        <w:numId w:val="1"/>
      </w:numPr>
      <w:tabs>
        <w:tab w:val="left" w:pos="812"/>
      </w:tabs>
      <w:spacing w:before="280" w:after="290"/>
      <w:jc w:val="both"/>
      <w:outlineLvl w:val="4"/>
    </w:pPr>
    <w:rPr>
      <w:rFonts w:ascii="Arial" w:hAnsi="Arial"/>
      <w:b/>
      <w:bCs/>
      <w:sz w:val="21"/>
      <w:szCs w:val="28"/>
    </w:rPr>
  </w:style>
  <w:style w:type="paragraph" w:styleId="8">
    <w:name w:val="heading 6"/>
    <w:basedOn w:val="1"/>
    <w:next w:val="1"/>
    <w:link w:val="28"/>
    <w:qFormat/>
    <w:uiPriority w:val="0"/>
    <w:pPr>
      <w:keepNext/>
      <w:keepLines/>
      <w:numPr>
        <w:ilvl w:val="5"/>
        <w:numId w:val="1"/>
      </w:numPr>
      <w:spacing w:before="240" w:after="64" w:line="320" w:lineRule="auto"/>
      <w:outlineLvl w:val="5"/>
    </w:pPr>
    <w:rPr>
      <w:rFonts w:ascii="等线 Light" w:hAnsi="等线 Light" w:eastAsia="等线 Light"/>
      <w:b/>
      <w:bCs/>
      <w:szCs w:val="24"/>
    </w:rPr>
  </w:style>
  <w:style w:type="paragraph" w:styleId="9">
    <w:name w:val="heading 7"/>
    <w:basedOn w:val="1"/>
    <w:next w:val="1"/>
    <w:link w:val="29"/>
    <w:qFormat/>
    <w:uiPriority w:val="0"/>
    <w:pPr>
      <w:keepNext/>
      <w:keepLines/>
      <w:numPr>
        <w:ilvl w:val="6"/>
        <w:numId w:val="1"/>
      </w:numPr>
      <w:spacing w:before="240" w:after="64" w:line="320" w:lineRule="auto"/>
      <w:outlineLvl w:val="6"/>
    </w:pPr>
    <w:rPr>
      <w:b/>
      <w:bCs/>
      <w:szCs w:val="24"/>
    </w:rPr>
  </w:style>
  <w:style w:type="paragraph" w:styleId="10">
    <w:name w:val="heading 8"/>
    <w:basedOn w:val="1"/>
    <w:next w:val="1"/>
    <w:link w:val="30"/>
    <w:qFormat/>
    <w:uiPriority w:val="0"/>
    <w:pPr>
      <w:keepNext/>
      <w:keepLines/>
      <w:numPr>
        <w:ilvl w:val="7"/>
        <w:numId w:val="1"/>
      </w:numPr>
      <w:spacing w:before="240" w:after="64" w:line="320" w:lineRule="auto"/>
      <w:outlineLvl w:val="7"/>
    </w:pPr>
    <w:rPr>
      <w:rFonts w:ascii="等线 Light" w:hAnsi="等线 Light" w:eastAsia="等线 Light"/>
      <w:szCs w:val="24"/>
    </w:rPr>
  </w:style>
  <w:style w:type="paragraph" w:styleId="11">
    <w:name w:val="heading 9"/>
    <w:basedOn w:val="1"/>
    <w:next w:val="1"/>
    <w:link w:val="31"/>
    <w:qFormat/>
    <w:uiPriority w:val="0"/>
    <w:pPr>
      <w:keepNext/>
      <w:keepLines/>
      <w:numPr>
        <w:ilvl w:val="8"/>
        <w:numId w:val="1"/>
      </w:numPr>
      <w:spacing w:before="240" w:after="64" w:line="320" w:lineRule="auto"/>
      <w:outlineLvl w:val="8"/>
    </w:pPr>
    <w:rPr>
      <w:rFonts w:ascii="等线 Light" w:hAnsi="等线 Light" w:eastAsia="等线 Light"/>
      <w:sz w:val="21"/>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Calibri" w:hAnsi="Calibri" w:eastAsia="宋体" w:cs="Times New Roman"/>
      <w:kern w:val="2"/>
      <w:sz w:val="21"/>
      <w:szCs w:val="22"/>
      <w:lang w:val="en-US" w:eastAsia="zh-CN" w:bidi="ar-SA"/>
    </w:rPr>
  </w:style>
  <w:style w:type="paragraph" w:styleId="12">
    <w:name w:val="annotation text"/>
    <w:basedOn w:val="1"/>
    <w:link w:val="38"/>
    <w:semiHidden/>
    <w:unhideWhenUsed/>
    <w:uiPriority w:val="99"/>
  </w:style>
  <w:style w:type="paragraph" w:styleId="13">
    <w:name w:val="Plain Text"/>
    <w:basedOn w:val="1"/>
    <w:link w:val="41"/>
    <w:qFormat/>
    <w:uiPriority w:val="0"/>
    <w:pPr>
      <w:widowControl w:val="0"/>
      <w:spacing w:line="240" w:lineRule="auto"/>
      <w:jc w:val="both"/>
    </w:pPr>
    <w:rPr>
      <w:rFonts w:ascii="宋体" w:hAnsi="Courier New"/>
      <w:sz w:val="21"/>
      <w:szCs w:val="20"/>
    </w:rPr>
  </w:style>
  <w:style w:type="paragraph" w:styleId="14">
    <w:name w:val="Balloon Text"/>
    <w:basedOn w:val="1"/>
    <w:link w:val="37"/>
    <w:semiHidden/>
    <w:unhideWhenUsed/>
    <w:qFormat/>
    <w:uiPriority w:val="99"/>
    <w:pPr>
      <w:spacing w:line="240" w:lineRule="auto"/>
    </w:pPr>
    <w:rPr>
      <w:sz w:val="18"/>
      <w:szCs w:val="18"/>
    </w:rPr>
  </w:style>
  <w:style w:type="paragraph" w:styleId="15">
    <w:name w:val="footer"/>
    <w:basedOn w:val="1"/>
    <w:link w:val="35"/>
    <w:unhideWhenUsed/>
    <w:qFormat/>
    <w:uiPriority w:val="99"/>
    <w:pPr>
      <w:tabs>
        <w:tab w:val="center" w:pos="4153"/>
        <w:tab w:val="right" w:pos="8306"/>
      </w:tabs>
      <w:snapToGrid w:val="0"/>
      <w:spacing w:line="240" w:lineRule="auto"/>
    </w:pPr>
    <w:rPr>
      <w:sz w:val="18"/>
      <w:szCs w:val="18"/>
    </w:rPr>
  </w:style>
  <w:style w:type="paragraph" w:styleId="16">
    <w:name w:val="header"/>
    <w:basedOn w:val="1"/>
    <w:link w:val="34"/>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7">
    <w:name w:val="annotation subject"/>
    <w:basedOn w:val="12"/>
    <w:next w:val="12"/>
    <w:link w:val="39"/>
    <w:semiHidden/>
    <w:unhideWhenUsed/>
    <w:uiPriority w:val="99"/>
    <w:rPr>
      <w:b/>
      <w:bCs/>
    </w:rPr>
  </w:style>
  <w:style w:type="table" w:styleId="19">
    <w:name w:val="Table Grid"/>
    <w:basedOn w:val="18"/>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annotation reference"/>
    <w:qFormat/>
    <w:uiPriority w:val="0"/>
    <w:rPr>
      <w:sz w:val="21"/>
      <w:szCs w:val="21"/>
    </w:rPr>
  </w:style>
  <w:style w:type="paragraph" w:styleId="22">
    <w:name w:val="List Paragraph"/>
    <w:basedOn w:val="1"/>
    <w:qFormat/>
    <w:uiPriority w:val="34"/>
    <w:pPr>
      <w:ind w:firstLine="420" w:firstLineChars="200"/>
    </w:pPr>
  </w:style>
  <w:style w:type="character" w:customStyle="1" w:styleId="23">
    <w:name w:val="标题 1 Char"/>
    <w:basedOn w:val="20"/>
    <w:link w:val="3"/>
    <w:qFormat/>
    <w:uiPriority w:val="9"/>
    <w:rPr>
      <w:rFonts w:ascii="楷体_GB2312" w:hAnsi="Times New Roman" w:eastAsia="楷体_GB2312" w:cs="Times New Roman"/>
      <w:b/>
      <w:kern w:val="44"/>
      <w:sz w:val="30"/>
      <w:szCs w:val="44"/>
    </w:rPr>
  </w:style>
  <w:style w:type="character" w:customStyle="1" w:styleId="24">
    <w:name w:val="标题 2 Char"/>
    <w:basedOn w:val="20"/>
    <w:link w:val="4"/>
    <w:qFormat/>
    <w:uiPriority w:val="9"/>
    <w:rPr>
      <w:rFonts w:ascii="Arial" w:hAnsi="Arial" w:eastAsia="黑体" w:cs="Times New Roman"/>
      <w:b/>
      <w:kern w:val="2"/>
      <w:sz w:val="32"/>
      <w:szCs w:val="32"/>
    </w:rPr>
  </w:style>
  <w:style w:type="character" w:customStyle="1" w:styleId="25">
    <w:name w:val="标题 3 字符"/>
    <w:basedOn w:val="20"/>
    <w:semiHidden/>
    <w:qFormat/>
    <w:uiPriority w:val="9"/>
    <w:rPr>
      <w:rFonts w:ascii="Times New Roman" w:hAnsi="Times New Roman" w:eastAsia="宋体" w:cs="Times New Roman"/>
      <w:b/>
      <w:bCs/>
      <w:sz w:val="32"/>
      <w:szCs w:val="32"/>
    </w:rPr>
  </w:style>
  <w:style w:type="character" w:customStyle="1" w:styleId="26">
    <w:name w:val="标题 4 Char"/>
    <w:basedOn w:val="20"/>
    <w:link w:val="6"/>
    <w:qFormat/>
    <w:uiPriority w:val="9"/>
    <w:rPr>
      <w:rFonts w:ascii="Arial" w:hAnsi="Arial" w:eastAsia="宋体" w:cs="Times New Roman"/>
      <w:b/>
      <w:bCs/>
      <w:sz w:val="28"/>
      <w:szCs w:val="28"/>
    </w:rPr>
  </w:style>
  <w:style w:type="character" w:customStyle="1" w:styleId="27">
    <w:name w:val="标题 5 Char"/>
    <w:basedOn w:val="20"/>
    <w:link w:val="7"/>
    <w:qFormat/>
    <w:uiPriority w:val="0"/>
    <w:rPr>
      <w:rFonts w:ascii="Arial" w:hAnsi="Arial" w:eastAsia="宋体" w:cs="Times New Roman"/>
      <w:b/>
      <w:bCs/>
      <w:szCs w:val="28"/>
    </w:rPr>
  </w:style>
  <w:style w:type="character" w:customStyle="1" w:styleId="28">
    <w:name w:val="标题 6 Char"/>
    <w:basedOn w:val="20"/>
    <w:link w:val="8"/>
    <w:qFormat/>
    <w:uiPriority w:val="0"/>
    <w:rPr>
      <w:rFonts w:ascii="等线 Light" w:hAnsi="等线 Light" w:eastAsia="等线 Light" w:cs="Times New Roman"/>
      <w:b/>
      <w:bCs/>
      <w:sz w:val="24"/>
      <w:szCs w:val="24"/>
    </w:rPr>
  </w:style>
  <w:style w:type="character" w:customStyle="1" w:styleId="29">
    <w:name w:val="标题 7 Char"/>
    <w:basedOn w:val="20"/>
    <w:link w:val="9"/>
    <w:qFormat/>
    <w:uiPriority w:val="0"/>
    <w:rPr>
      <w:rFonts w:ascii="Times New Roman" w:hAnsi="Times New Roman" w:eastAsia="宋体" w:cs="Times New Roman"/>
      <w:b/>
      <w:bCs/>
      <w:sz w:val="24"/>
      <w:szCs w:val="24"/>
    </w:rPr>
  </w:style>
  <w:style w:type="character" w:customStyle="1" w:styleId="30">
    <w:name w:val="标题 8 Char"/>
    <w:basedOn w:val="20"/>
    <w:link w:val="10"/>
    <w:uiPriority w:val="0"/>
    <w:rPr>
      <w:rFonts w:ascii="等线 Light" w:hAnsi="等线 Light" w:eastAsia="等线 Light" w:cs="Times New Roman"/>
      <w:sz w:val="24"/>
      <w:szCs w:val="24"/>
    </w:rPr>
  </w:style>
  <w:style w:type="character" w:customStyle="1" w:styleId="31">
    <w:name w:val="标题 9 Char"/>
    <w:basedOn w:val="20"/>
    <w:link w:val="11"/>
    <w:uiPriority w:val="0"/>
    <w:rPr>
      <w:rFonts w:ascii="等线 Light" w:hAnsi="等线 Light" w:eastAsia="等线 Light" w:cs="Times New Roman"/>
      <w:szCs w:val="21"/>
    </w:rPr>
  </w:style>
  <w:style w:type="character" w:customStyle="1" w:styleId="32">
    <w:name w:val="标题 3 Char"/>
    <w:link w:val="5"/>
    <w:qFormat/>
    <w:uiPriority w:val="9"/>
    <w:rPr>
      <w:rFonts w:ascii="Times New Roman" w:hAnsi="Times New Roman" w:eastAsia="宋体" w:cs="Times New Roman"/>
      <w:b/>
      <w:bCs/>
      <w:kern w:val="0"/>
      <w:sz w:val="32"/>
      <w:szCs w:val="32"/>
    </w:rPr>
  </w:style>
  <w:style w:type="paragraph" w:customStyle="1" w:styleId="33">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4">
    <w:name w:val="页眉 Char"/>
    <w:basedOn w:val="20"/>
    <w:link w:val="16"/>
    <w:qFormat/>
    <w:uiPriority w:val="99"/>
    <w:rPr>
      <w:rFonts w:ascii="Times New Roman" w:hAnsi="Times New Roman" w:eastAsia="宋体" w:cs="Times New Roman"/>
      <w:sz w:val="18"/>
      <w:szCs w:val="18"/>
    </w:rPr>
  </w:style>
  <w:style w:type="character" w:customStyle="1" w:styleId="35">
    <w:name w:val="页脚 Char"/>
    <w:basedOn w:val="20"/>
    <w:link w:val="15"/>
    <w:qFormat/>
    <w:uiPriority w:val="99"/>
    <w:rPr>
      <w:rFonts w:ascii="Times New Roman" w:hAnsi="Times New Roman" w:eastAsia="宋体" w:cs="Times New Roman"/>
      <w:sz w:val="18"/>
      <w:szCs w:val="18"/>
    </w:rPr>
  </w:style>
  <w:style w:type="paragraph" w:customStyle="1" w:styleId="36">
    <w:name w:val="修订1"/>
    <w:hidden/>
    <w:semiHidden/>
    <w:qFormat/>
    <w:uiPriority w:val="99"/>
    <w:rPr>
      <w:rFonts w:ascii="Times New Roman" w:hAnsi="Times New Roman" w:eastAsia="宋体" w:cs="Times New Roman"/>
      <w:kern w:val="2"/>
      <w:sz w:val="24"/>
      <w:szCs w:val="21"/>
      <w:lang w:val="en-US" w:eastAsia="zh-CN" w:bidi="ar-SA"/>
    </w:rPr>
  </w:style>
  <w:style w:type="character" w:customStyle="1" w:styleId="37">
    <w:name w:val="批注框文本 Char"/>
    <w:basedOn w:val="20"/>
    <w:link w:val="14"/>
    <w:semiHidden/>
    <w:qFormat/>
    <w:uiPriority w:val="99"/>
    <w:rPr>
      <w:rFonts w:ascii="Times New Roman" w:hAnsi="Times New Roman" w:eastAsia="宋体" w:cs="Times New Roman"/>
      <w:sz w:val="18"/>
      <w:szCs w:val="18"/>
    </w:rPr>
  </w:style>
  <w:style w:type="character" w:customStyle="1" w:styleId="38">
    <w:name w:val="批注文字 Char"/>
    <w:basedOn w:val="20"/>
    <w:link w:val="12"/>
    <w:semiHidden/>
    <w:uiPriority w:val="99"/>
    <w:rPr>
      <w:rFonts w:ascii="Times New Roman" w:hAnsi="Times New Roman" w:eastAsia="宋体" w:cs="Times New Roman"/>
      <w:sz w:val="24"/>
      <w:szCs w:val="21"/>
    </w:rPr>
  </w:style>
  <w:style w:type="character" w:customStyle="1" w:styleId="39">
    <w:name w:val="批注主题 Char"/>
    <w:basedOn w:val="38"/>
    <w:link w:val="17"/>
    <w:semiHidden/>
    <w:uiPriority w:val="99"/>
    <w:rPr>
      <w:rFonts w:ascii="Times New Roman" w:hAnsi="Times New Roman" w:eastAsia="宋体" w:cs="Times New Roman"/>
      <w:b/>
      <w:bCs/>
      <w:sz w:val="24"/>
      <w:szCs w:val="21"/>
    </w:rPr>
  </w:style>
  <w:style w:type="paragraph" w:customStyle="1" w:styleId="40">
    <w:name w:val="列表段落1"/>
    <w:basedOn w:val="1"/>
    <w:qFormat/>
    <w:uiPriority w:val="34"/>
    <w:pPr>
      <w:overflowPunct w:val="0"/>
      <w:autoSpaceDE w:val="0"/>
      <w:autoSpaceDN w:val="0"/>
      <w:adjustRightInd w:val="0"/>
      <w:ind w:firstLine="420" w:firstLineChars="200"/>
    </w:pPr>
    <w:rPr>
      <w:kern w:val="0"/>
      <w:sz w:val="30"/>
      <w:szCs w:val="20"/>
    </w:rPr>
  </w:style>
  <w:style w:type="character" w:customStyle="1" w:styleId="41">
    <w:name w:val="纯文本 Char"/>
    <w:basedOn w:val="20"/>
    <w:link w:val="13"/>
    <w:qFormat/>
    <w:uiPriority w:val="0"/>
    <w:rPr>
      <w:rFonts w:ascii="宋体" w:hAnsi="Courier New" w:eastAsia="宋体" w:cs="Times New Roman"/>
      <w:kern w:val="2"/>
      <w:sz w:val="21"/>
    </w:rPr>
  </w:style>
  <w:style w:type="character" w:customStyle="1" w:styleId="42">
    <w:name w:val="font51"/>
    <w:basedOn w:val="20"/>
    <w:uiPriority w:val="0"/>
    <w:rPr>
      <w:rFonts w:hint="eastAsia" w:ascii="宋体" w:hAnsi="宋体" w:eastAsia="宋体" w:cs="宋体"/>
      <w:color w:val="000000"/>
      <w:sz w:val="20"/>
      <w:szCs w:val="20"/>
      <w:u w:val="none"/>
    </w:rPr>
  </w:style>
  <w:style w:type="character" w:customStyle="1" w:styleId="43">
    <w:name w:val="font61"/>
    <w:basedOn w:val="20"/>
    <w:uiPriority w:val="0"/>
    <w:rPr>
      <w:rFonts w:hint="default" w:ascii="仿宋" w:hAnsi="仿宋" w:eastAsia="仿宋" w:cs="仿宋"/>
      <w:color w:val="000000"/>
      <w:sz w:val="20"/>
      <w:szCs w:val="20"/>
      <w:u w:val="none"/>
    </w:rPr>
  </w:style>
  <w:style w:type="character" w:customStyle="1" w:styleId="44">
    <w:name w:val="纯文本 Char1"/>
    <w:uiPriority w:val="0"/>
    <w:rPr>
      <w:rFonts w:ascii="宋体" w:hAnsi="Courier New"/>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Windsys.win</Company>
  <Pages>7</Pages>
  <Words>4002</Words>
  <Characters>4252</Characters>
  <Lines>31</Lines>
  <Paragraphs>9</Paragraphs>
  <TotalTime>0</TotalTime>
  <ScaleCrop>false</ScaleCrop>
  <LinksUpToDate>false</LinksUpToDate>
  <CharactersWithSpaces>4259</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2022-05-19T00:51:00Z</dcterms:created>
  <dc:creator>felx lee</dc:creator>
  <cp:lastModifiedBy>Yang</cp:lastModifiedBy>
  <dcterms:modified xsi:type="dcterms:W3CDTF">2022-05-30T09:04:53Z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AF846444E3374654BA17194153803A78</vt:lpwstr>
  </property>
</Properties>
</file>