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ascii="仿宋" w:hAnsi="仿宋" w:eastAsia="仿宋"/>
          <w:sz w:val="28"/>
          <w:szCs w:val="28"/>
        </w:rPr>
      </w:pPr>
      <w:bookmarkStart w:id="0" w:name="page1"/>
      <w:bookmarkEnd w:id="0"/>
    </w:p>
    <w:p>
      <w:pPr>
        <w:spacing w:line="360" w:lineRule="auto"/>
        <w:rPr>
          <w:rFonts w:ascii="仿宋" w:hAnsi="仿宋" w:eastAsia="仿宋"/>
          <w:sz w:val="28"/>
          <w:szCs w:val="28"/>
        </w:rPr>
      </w:pPr>
    </w:p>
    <w:p>
      <w:pPr>
        <w:spacing w:line="360" w:lineRule="auto"/>
        <w:rPr>
          <w:rFonts w:ascii="仿宋" w:hAnsi="仿宋" w:eastAsia="仿宋"/>
          <w:sz w:val="28"/>
          <w:szCs w:val="28"/>
        </w:rPr>
      </w:pPr>
    </w:p>
    <w:p>
      <w:pPr>
        <w:spacing w:line="360" w:lineRule="auto"/>
        <w:rPr>
          <w:rFonts w:ascii="仿宋" w:hAnsi="仿宋" w:eastAsia="仿宋"/>
          <w:sz w:val="28"/>
          <w:szCs w:val="28"/>
        </w:rPr>
      </w:pPr>
    </w:p>
    <w:p>
      <w:pPr>
        <w:spacing w:line="360" w:lineRule="auto"/>
        <w:jc w:val="center"/>
        <w:rPr>
          <w:rFonts w:ascii="仿宋" w:hAnsi="仿宋" w:eastAsia="仿宋" w:cs="宋体"/>
          <w:b/>
          <w:bCs/>
          <w:spacing w:val="-20"/>
          <w:sz w:val="48"/>
          <w:szCs w:val="48"/>
        </w:rPr>
      </w:pPr>
      <w:bookmarkStart w:id="1" w:name="_Hlk89962281"/>
      <w:r>
        <w:rPr>
          <w:rFonts w:hint="eastAsia" w:ascii="仿宋" w:hAnsi="仿宋" w:eastAsia="仿宋" w:cs="宋体"/>
          <w:b/>
          <w:bCs/>
          <w:spacing w:val="-20"/>
          <w:sz w:val="48"/>
          <w:szCs w:val="48"/>
        </w:rPr>
        <w:t>江门市蓬江区融顺机动车驾驶人培训有限公司</w:t>
      </w:r>
    </w:p>
    <w:p>
      <w:pPr>
        <w:spacing w:line="360" w:lineRule="auto"/>
        <w:jc w:val="center"/>
        <w:rPr>
          <w:rFonts w:ascii="仿宋" w:hAnsi="仿宋" w:eastAsia="仿宋" w:cs="宋体"/>
          <w:spacing w:val="-20"/>
          <w:sz w:val="48"/>
          <w:szCs w:val="48"/>
        </w:rPr>
      </w:pPr>
      <w:r>
        <w:rPr>
          <w:rFonts w:hint="eastAsia" w:ascii="仿宋" w:hAnsi="仿宋" w:eastAsia="仿宋" w:cs="宋体"/>
          <w:b/>
          <w:bCs/>
          <w:spacing w:val="-20"/>
          <w:sz w:val="48"/>
          <w:szCs w:val="48"/>
        </w:rPr>
        <w:t>车载训练设备采购项目</w:t>
      </w:r>
    </w:p>
    <w:bookmarkEnd w:id="1"/>
    <w:p>
      <w:pPr>
        <w:spacing w:line="360" w:lineRule="auto"/>
        <w:rPr>
          <w:rFonts w:ascii="仿宋" w:hAnsi="仿宋" w:eastAsia="仿宋" w:cs="宋体"/>
          <w:spacing w:val="-20"/>
          <w:sz w:val="48"/>
          <w:szCs w:val="48"/>
        </w:rPr>
      </w:pPr>
    </w:p>
    <w:p>
      <w:pPr>
        <w:spacing w:line="360" w:lineRule="auto"/>
        <w:rPr>
          <w:rFonts w:ascii="仿宋" w:hAnsi="仿宋" w:eastAsia="仿宋" w:cs="宋体"/>
          <w:sz w:val="48"/>
          <w:szCs w:val="48"/>
        </w:rPr>
      </w:pPr>
    </w:p>
    <w:p>
      <w:pPr>
        <w:spacing w:line="360" w:lineRule="auto"/>
        <w:jc w:val="center"/>
        <w:rPr>
          <w:rFonts w:ascii="仿宋" w:hAnsi="仿宋" w:eastAsia="仿宋" w:cs="宋体"/>
          <w:b/>
          <w:bCs/>
          <w:color w:val="000000"/>
          <w:sz w:val="48"/>
          <w:szCs w:val="48"/>
        </w:rPr>
      </w:pPr>
      <w:r>
        <w:rPr>
          <w:rFonts w:hint="eastAsia" w:ascii="仿宋" w:hAnsi="仿宋" w:eastAsia="仿宋" w:cs="宋体"/>
          <w:b/>
          <w:bCs/>
          <w:color w:val="000000"/>
          <w:sz w:val="48"/>
          <w:szCs w:val="48"/>
        </w:rPr>
        <w:t>询价文件</w:t>
      </w:r>
    </w:p>
    <w:p>
      <w:pPr>
        <w:spacing w:line="360" w:lineRule="auto"/>
        <w:jc w:val="center"/>
        <w:rPr>
          <w:rFonts w:ascii="仿宋" w:hAnsi="仿宋" w:eastAsia="仿宋" w:cs="宋体"/>
          <w:color w:val="FF0000"/>
          <w:sz w:val="48"/>
          <w:szCs w:val="48"/>
        </w:rPr>
      </w:pPr>
      <w:r>
        <w:rPr>
          <w:rFonts w:hint="eastAsia" w:ascii="仿宋" w:hAnsi="仿宋" w:eastAsia="仿宋" w:cs="宋体"/>
          <w:color w:val="000000"/>
          <w:sz w:val="48"/>
          <w:szCs w:val="48"/>
        </w:rPr>
        <w:t>项目编号：</w:t>
      </w:r>
      <w:bookmarkStart w:id="2" w:name="OLE_LINK2"/>
      <w:r>
        <w:rPr>
          <w:rFonts w:hint="eastAsia" w:ascii="仿宋" w:hAnsi="仿宋" w:eastAsia="仿宋" w:cs="宋体"/>
          <w:color w:val="000000"/>
          <w:sz w:val="48"/>
          <w:szCs w:val="48"/>
        </w:rPr>
        <w:t>RSJX2022-00</w:t>
      </w:r>
    </w:p>
    <w:bookmarkEnd w:id="2"/>
    <w:p>
      <w:pPr>
        <w:spacing w:line="360" w:lineRule="auto"/>
        <w:rPr>
          <w:rFonts w:ascii="仿宋" w:hAnsi="仿宋" w:eastAsia="仿宋" w:cs="宋体"/>
          <w:sz w:val="28"/>
          <w:szCs w:val="28"/>
        </w:rPr>
      </w:pPr>
    </w:p>
    <w:p>
      <w:pPr>
        <w:spacing w:line="360" w:lineRule="auto"/>
        <w:rPr>
          <w:rFonts w:ascii="仿宋" w:hAnsi="仿宋" w:eastAsia="仿宋" w:cs="宋体"/>
          <w:sz w:val="28"/>
          <w:szCs w:val="28"/>
        </w:rPr>
      </w:pPr>
    </w:p>
    <w:p>
      <w:pPr>
        <w:spacing w:line="360" w:lineRule="auto"/>
        <w:rPr>
          <w:rFonts w:ascii="仿宋" w:hAnsi="仿宋" w:eastAsia="仿宋" w:cs="宋体"/>
          <w:sz w:val="28"/>
          <w:szCs w:val="28"/>
        </w:rPr>
      </w:pPr>
    </w:p>
    <w:p>
      <w:pPr>
        <w:spacing w:line="360" w:lineRule="auto"/>
        <w:rPr>
          <w:rFonts w:ascii="仿宋" w:hAnsi="仿宋" w:eastAsia="仿宋" w:cs="宋体"/>
          <w:sz w:val="28"/>
          <w:szCs w:val="28"/>
        </w:rPr>
      </w:pPr>
    </w:p>
    <w:p>
      <w:pPr>
        <w:spacing w:line="360" w:lineRule="auto"/>
        <w:rPr>
          <w:rFonts w:ascii="仿宋" w:hAnsi="仿宋" w:eastAsia="仿宋" w:cs="宋体"/>
          <w:sz w:val="28"/>
          <w:szCs w:val="28"/>
        </w:rPr>
      </w:pPr>
    </w:p>
    <w:p>
      <w:pPr>
        <w:spacing w:line="360" w:lineRule="auto"/>
        <w:rPr>
          <w:rFonts w:ascii="仿宋" w:hAnsi="仿宋" w:eastAsia="仿宋" w:cs="宋体"/>
          <w:sz w:val="28"/>
          <w:szCs w:val="28"/>
        </w:rPr>
      </w:pPr>
    </w:p>
    <w:p>
      <w:pPr>
        <w:spacing w:line="360" w:lineRule="auto"/>
        <w:jc w:val="center"/>
        <w:rPr>
          <w:rFonts w:ascii="仿宋" w:hAnsi="仿宋" w:eastAsia="仿宋" w:cs="宋体"/>
          <w:sz w:val="44"/>
          <w:szCs w:val="44"/>
        </w:rPr>
      </w:pPr>
      <w:bookmarkStart w:id="3" w:name="page2"/>
      <w:bookmarkEnd w:id="3"/>
      <w:r>
        <w:rPr>
          <w:rFonts w:hint="eastAsia" w:ascii="仿宋" w:hAnsi="仿宋" w:eastAsia="仿宋" w:cs="宋体"/>
          <w:b/>
          <w:bCs/>
          <w:sz w:val="44"/>
          <w:szCs w:val="44"/>
        </w:rPr>
        <w:t>江门市</w:t>
      </w:r>
      <w:bookmarkStart w:id="4" w:name="OLE_LINK5"/>
      <w:r>
        <w:rPr>
          <w:rFonts w:hint="eastAsia" w:ascii="仿宋" w:hAnsi="仿宋" w:eastAsia="仿宋" w:cs="宋体"/>
          <w:b/>
          <w:bCs/>
          <w:sz w:val="44"/>
          <w:szCs w:val="44"/>
        </w:rPr>
        <w:t>蓬江区融顺机动车驾驶人培训有限公司</w:t>
      </w:r>
      <w:bookmarkEnd w:id="4"/>
    </w:p>
    <w:p>
      <w:pPr>
        <w:spacing w:line="360" w:lineRule="auto"/>
        <w:ind w:right="140"/>
        <w:jc w:val="center"/>
        <w:rPr>
          <w:rFonts w:ascii="仿宋" w:hAnsi="仿宋" w:eastAsia="仿宋" w:cs="宋体"/>
          <w:sz w:val="44"/>
          <w:szCs w:val="44"/>
        </w:rPr>
      </w:pPr>
      <w:r>
        <w:rPr>
          <w:rFonts w:hint="eastAsia" w:ascii="仿宋" w:hAnsi="仿宋" w:eastAsia="仿宋" w:cs="宋体"/>
          <w:sz w:val="44"/>
          <w:szCs w:val="44"/>
        </w:rPr>
        <w:t>二○二二年七月</w:t>
      </w:r>
    </w:p>
    <w:p>
      <w:pPr>
        <w:spacing w:line="360" w:lineRule="auto"/>
        <w:ind w:right="140"/>
        <w:jc w:val="center"/>
        <w:rPr>
          <w:rFonts w:ascii="仿宋" w:hAnsi="仿宋" w:eastAsia="仿宋" w:cs="宋体"/>
          <w:sz w:val="44"/>
          <w:szCs w:val="44"/>
        </w:rPr>
      </w:pPr>
    </w:p>
    <w:p>
      <w:pPr>
        <w:spacing w:line="360" w:lineRule="auto"/>
        <w:ind w:right="140"/>
        <w:jc w:val="center"/>
        <w:rPr>
          <w:rFonts w:ascii="仿宋" w:hAnsi="仿宋" w:eastAsia="仿宋" w:cs="宋体"/>
          <w:sz w:val="44"/>
          <w:szCs w:val="44"/>
        </w:rPr>
      </w:pPr>
    </w:p>
    <w:p>
      <w:pPr>
        <w:widowControl/>
        <w:spacing w:line="360" w:lineRule="auto"/>
        <w:jc w:val="center"/>
        <w:rPr>
          <w:rFonts w:ascii="仿宋" w:hAnsi="仿宋" w:eastAsia="仿宋" w:cs="宋体"/>
          <w:b/>
          <w:sz w:val="44"/>
          <w:szCs w:val="44"/>
          <w:lang w:bidi="ar"/>
        </w:rPr>
      </w:pPr>
      <w:r>
        <w:rPr>
          <w:rFonts w:hint="eastAsia" w:ascii="仿宋" w:hAnsi="仿宋" w:eastAsia="仿宋" w:cs="宋体"/>
          <w:b/>
          <w:sz w:val="44"/>
          <w:szCs w:val="44"/>
          <w:lang w:bidi="ar"/>
        </w:rPr>
        <w:t xml:space="preserve">第一部分 </w:t>
      </w:r>
      <w:r>
        <w:rPr>
          <w:rFonts w:ascii="仿宋" w:hAnsi="仿宋" w:eastAsia="仿宋" w:cs="宋体"/>
          <w:b/>
          <w:sz w:val="44"/>
          <w:szCs w:val="44"/>
          <w:lang w:bidi="ar"/>
        </w:rPr>
        <w:t xml:space="preserve"> </w:t>
      </w:r>
      <w:r>
        <w:rPr>
          <w:rFonts w:hint="eastAsia" w:ascii="仿宋" w:hAnsi="仿宋" w:eastAsia="仿宋" w:cs="宋体"/>
          <w:b/>
          <w:sz w:val="44"/>
          <w:szCs w:val="44"/>
          <w:lang w:bidi="ar"/>
        </w:rPr>
        <w:t>询价邀请</w:t>
      </w:r>
    </w:p>
    <w:p>
      <w:pPr>
        <w:widowControl/>
        <w:spacing w:line="360" w:lineRule="auto"/>
        <w:jc w:val="left"/>
        <w:rPr>
          <w:rFonts w:ascii="仿宋" w:hAnsi="仿宋" w:eastAsia="仿宋" w:cs="宋体"/>
          <w:b/>
          <w:sz w:val="28"/>
          <w:szCs w:val="28"/>
          <w:lang w:bidi="ar"/>
        </w:rPr>
      </w:pPr>
    </w:p>
    <w:p>
      <w:pPr>
        <w:spacing w:line="360" w:lineRule="auto"/>
        <w:rPr>
          <w:rFonts w:ascii="仿宋" w:hAnsi="仿宋" w:eastAsia="仿宋"/>
          <w:sz w:val="28"/>
          <w:szCs w:val="28"/>
        </w:rPr>
      </w:pPr>
    </w:p>
    <w:p>
      <w:pPr>
        <w:spacing w:line="360" w:lineRule="auto"/>
        <w:jc w:val="center"/>
        <w:rPr>
          <w:rFonts w:ascii="仿宋" w:hAnsi="仿宋" w:eastAsia="仿宋" w:cs="宋体"/>
          <w:b/>
          <w:sz w:val="36"/>
          <w:szCs w:val="36"/>
          <w:lang w:bidi="ar"/>
        </w:rPr>
      </w:pPr>
      <w:r>
        <w:rPr>
          <w:rFonts w:hint="eastAsia" w:ascii="仿宋" w:hAnsi="仿宋" w:eastAsia="仿宋" w:cs="宋体"/>
          <w:b/>
          <w:sz w:val="36"/>
          <w:szCs w:val="36"/>
          <w:lang w:bidi="ar"/>
        </w:rPr>
        <w:t>江门市蓬江区融顺机动车驾驶人培训有限公司车载训练设备采购项目询价公告</w:t>
      </w:r>
    </w:p>
    <w:p>
      <w:pPr>
        <w:widowControl/>
        <w:spacing w:line="360" w:lineRule="auto"/>
        <w:rPr>
          <w:rFonts w:ascii="仿宋" w:hAnsi="仿宋" w:eastAsia="仿宋" w:cs="黑体"/>
          <w:bCs/>
          <w:sz w:val="28"/>
          <w:szCs w:val="28"/>
        </w:rPr>
      </w:pPr>
      <w:bookmarkStart w:id="5" w:name="_Toc28359089"/>
      <w:bookmarkStart w:id="6" w:name="_Toc28359012"/>
      <w:bookmarkStart w:id="7" w:name="_Toc35393629"/>
      <w:bookmarkStart w:id="8" w:name="_Toc35393798"/>
      <w:r>
        <w:rPr>
          <w:rFonts w:ascii="仿宋" w:hAnsi="仿宋" w:eastAsia="仿宋"/>
          <w:bCs/>
          <w:sz w:val="28"/>
          <w:szCs w:val="28"/>
        </w:rPr>
        <w:t>一、项目基本情况</w:t>
      </w:r>
      <w:bookmarkEnd w:id="5"/>
      <w:bookmarkEnd w:id="6"/>
      <w:bookmarkEnd w:id="7"/>
      <w:bookmarkEnd w:id="8"/>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lang w:bidi="ar"/>
        </w:rPr>
        <w:t>项目编号：</w:t>
      </w:r>
      <w:r>
        <w:rPr>
          <w:rFonts w:ascii="仿宋" w:hAnsi="仿宋" w:eastAsia="仿宋" w:cs="仿宋"/>
          <w:sz w:val="28"/>
          <w:szCs w:val="28"/>
          <w:lang w:bidi="ar"/>
        </w:rPr>
        <w:t>RS</w:t>
      </w:r>
      <w:r>
        <w:rPr>
          <w:rFonts w:hint="eastAsia" w:ascii="仿宋" w:hAnsi="仿宋" w:eastAsia="仿宋" w:cs="仿宋"/>
          <w:sz w:val="28"/>
          <w:szCs w:val="28"/>
          <w:lang w:bidi="ar"/>
        </w:rPr>
        <w:t>JX</w:t>
      </w:r>
      <w:r>
        <w:rPr>
          <w:rFonts w:ascii="仿宋" w:hAnsi="仿宋" w:eastAsia="仿宋" w:cs="仿宋"/>
          <w:sz w:val="28"/>
          <w:szCs w:val="28"/>
          <w:lang w:bidi="ar"/>
        </w:rPr>
        <w:t>2022-</w:t>
      </w:r>
    </w:p>
    <w:p>
      <w:pPr>
        <w:spacing w:line="360" w:lineRule="auto"/>
        <w:ind w:firstLine="560" w:firstLineChars="200"/>
        <w:rPr>
          <w:rFonts w:ascii="仿宋" w:hAnsi="仿宋" w:eastAsia="仿宋" w:cs="仿宋"/>
          <w:sz w:val="28"/>
          <w:szCs w:val="28"/>
          <w:u w:val="single"/>
        </w:rPr>
      </w:pPr>
      <w:r>
        <w:rPr>
          <w:rFonts w:hint="eastAsia" w:ascii="仿宋" w:hAnsi="仿宋" w:eastAsia="仿宋" w:cs="仿宋"/>
          <w:sz w:val="28"/>
          <w:szCs w:val="28"/>
          <w:lang w:bidi="ar"/>
        </w:rPr>
        <w:t>项目名称：江门市蓬江区融顺机动车驾驶人培训有限公司车载训练设备采购项目</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lang w:bidi="ar"/>
        </w:rPr>
        <w:t>采购方式：询价</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lang w:bidi="ar"/>
        </w:rPr>
        <w:t>预算金额：人民币</w:t>
      </w:r>
      <w:r>
        <w:rPr>
          <w:rFonts w:hint="eastAsia" w:ascii="仿宋" w:hAnsi="仿宋" w:eastAsia="仿宋" w:cs="仿宋"/>
          <w:sz w:val="28"/>
          <w:szCs w:val="28"/>
          <w:lang w:val="en-US" w:eastAsia="zh-CN" w:bidi="ar"/>
        </w:rPr>
        <w:t>6</w:t>
      </w:r>
      <w:r>
        <w:rPr>
          <w:rFonts w:hint="eastAsia" w:ascii="仿宋" w:hAnsi="仿宋" w:eastAsia="仿宋" w:cs="仿宋"/>
          <w:sz w:val="28"/>
          <w:szCs w:val="28"/>
          <w:lang w:bidi="ar"/>
        </w:rPr>
        <w:t>0万元</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lang w:bidi="ar"/>
        </w:rPr>
        <w:t>最高限价：人民币</w:t>
      </w:r>
      <w:r>
        <w:rPr>
          <w:rFonts w:hint="eastAsia" w:ascii="仿宋" w:hAnsi="仿宋" w:eastAsia="仿宋" w:cs="仿宋"/>
          <w:sz w:val="28"/>
          <w:szCs w:val="28"/>
          <w:lang w:val="en-US" w:eastAsia="zh-CN" w:bidi="ar"/>
        </w:rPr>
        <w:t>6</w:t>
      </w:r>
      <w:r>
        <w:rPr>
          <w:rFonts w:hint="eastAsia" w:ascii="仿宋" w:hAnsi="仿宋" w:eastAsia="仿宋" w:cs="仿宋"/>
          <w:sz w:val="28"/>
          <w:szCs w:val="28"/>
          <w:lang w:bidi="ar"/>
        </w:rPr>
        <w:t>0万元</w:t>
      </w:r>
    </w:p>
    <w:p>
      <w:pPr>
        <w:spacing w:line="360" w:lineRule="auto"/>
        <w:ind w:firstLine="560" w:firstLineChars="200"/>
        <w:rPr>
          <w:rFonts w:ascii="仿宋" w:hAnsi="仿宋" w:eastAsia="仿宋" w:cs="仿宋"/>
          <w:sz w:val="28"/>
          <w:szCs w:val="28"/>
          <w:lang w:bidi="ar"/>
        </w:rPr>
      </w:pPr>
      <w:r>
        <w:rPr>
          <w:rFonts w:hint="eastAsia" w:ascii="仿宋" w:hAnsi="仿宋" w:eastAsia="仿宋" w:cs="仿宋"/>
          <w:sz w:val="28"/>
          <w:szCs w:val="28"/>
          <w:lang w:bidi="ar"/>
        </w:rPr>
        <w:t>采购需求：</w:t>
      </w:r>
    </w:p>
    <w:tbl>
      <w:tblPr>
        <w:tblStyle w:val="13"/>
        <w:tblW w:w="94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56"/>
        <w:gridCol w:w="2594"/>
        <w:gridCol w:w="2551"/>
        <w:gridCol w:w="1701"/>
        <w:gridCol w:w="17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3" w:hRule="atLeast"/>
          <w:jc w:val="center"/>
        </w:trPr>
        <w:tc>
          <w:tcPr>
            <w:tcW w:w="856" w:type="dxa"/>
            <w:tcMar>
              <w:top w:w="0" w:type="dxa"/>
              <w:left w:w="108" w:type="dxa"/>
              <w:bottom w:w="0" w:type="dxa"/>
              <w:right w:w="108" w:type="dxa"/>
            </w:tcMar>
            <w:vAlign w:val="center"/>
          </w:tcPr>
          <w:p>
            <w:pPr>
              <w:shd w:val="clear" w:color="auto" w:fill="FFFFFF"/>
              <w:spacing w:line="360" w:lineRule="auto"/>
              <w:jc w:val="center"/>
              <w:rPr>
                <w:rFonts w:ascii="仿宋" w:hAnsi="仿宋" w:eastAsia="仿宋"/>
                <w:color w:val="000000"/>
                <w:sz w:val="28"/>
                <w:szCs w:val="28"/>
              </w:rPr>
            </w:pPr>
            <w:r>
              <w:rPr>
                <w:rFonts w:ascii="仿宋" w:hAnsi="仿宋" w:eastAsia="仿宋"/>
                <w:color w:val="000000"/>
                <w:kern w:val="0"/>
                <w:sz w:val="28"/>
                <w:szCs w:val="28"/>
              </w:rPr>
              <w:t>序号</w:t>
            </w:r>
          </w:p>
        </w:tc>
        <w:tc>
          <w:tcPr>
            <w:tcW w:w="2594" w:type="dxa"/>
            <w:tcMar>
              <w:top w:w="0" w:type="dxa"/>
              <w:left w:w="108" w:type="dxa"/>
              <w:bottom w:w="0" w:type="dxa"/>
              <w:right w:w="108" w:type="dxa"/>
            </w:tcMar>
            <w:vAlign w:val="center"/>
          </w:tcPr>
          <w:p>
            <w:pPr>
              <w:shd w:val="clear" w:color="auto" w:fill="FFFFFF"/>
              <w:spacing w:line="360" w:lineRule="auto"/>
              <w:jc w:val="center"/>
              <w:rPr>
                <w:rFonts w:ascii="仿宋" w:hAnsi="仿宋" w:eastAsia="仿宋"/>
                <w:color w:val="000000"/>
                <w:sz w:val="28"/>
                <w:szCs w:val="28"/>
              </w:rPr>
            </w:pPr>
            <w:r>
              <w:rPr>
                <w:rFonts w:hint="eastAsia" w:ascii="仿宋" w:hAnsi="仿宋" w:eastAsia="仿宋"/>
                <w:color w:val="000000"/>
                <w:kern w:val="0"/>
                <w:sz w:val="28"/>
                <w:szCs w:val="28"/>
              </w:rPr>
              <w:t>项目名称</w:t>
            </w:r>
          </w:p>
        </w:tc>
        <w:tc>
          <w:tcPr>
            <w:tcW w:w="2551" w:type="dxa"/>
            <w:vAlign w:val="center"/>
          </w:tcPr>
          <w:p>
            <w:pPr>
              <w:shd w:val="clear" w:color="auto" w:fill="FFFFFF"/>
              <w:spacing w:line="360" w:lineRule="auto"/>
              <w:jc w:val="center"/>
              <w:rPr>
                <w:rFonts w:ascii="仿宋" w:hAnsi="仿宋" w:eastAsia="仿宋"/>
                <w:color w:val="000000"/>
                <w:sz w:val="28"/>
                <w:szCs w:val="28"/>
              </w:rPr>
            </w:pPr>
            <w:r>
              <w:rPr>
                <w:rFonts w:hint="eastAsia" w:ascii="仿宋" w:hAnsi="仿宋" w:eastAsia="仿宋"/>
                <w:color w:val="000000"/>
                <w:kern w:val="0"/>
                <w:sz w:val="28"/>
                <w:szCs w:val="28"/>
              </w:rPr>
              <w:t>货物需求及技术要求</w:t>
            </w:r>
          </w:p>
        </w:tc>
        <w:tc>
          <w:tcPr>
            <w:tcW w:w="1701" w:type="dxa"/>
            <w:vAlign w:val="center"/>
          </w:tcPr>
          <w:p>
            <w:pPr>
              <w:shd w:val="clear" w:color="auto" w:fill="FFFFFF"/>
              <w:spacing w:line="360" w:lineRule="auto"/>
              <w:jc w:val="center"/>
              <w:rPr>
                <w:rFonts w:ascii="仿宋" w:hAnsi="仿宋" w:eastAsia="仿宋"/>
                <w:color w:val="000000"/>
                <w:sz w:val="28"/>
                <w:szCs w:val="28"/>
              </w:rPr>
            </w:pPr>
            <w:r>
              <w:rPr>
                <w:rFonts w:hint="eastAsia" w:ascii="仿宋" w:hAnsi="仿宋" w:eastAsia="仿宋"/>
                <w:color w:val="000000"/>
                <w:kern w:val="0"/>
                <w:sz w:val="28"/>
                <w:szCs w:val="28"/>
              </w:rPr>
              <w:t>单位</w:t>
            </w:r>
          </w:p>
        </w:tc>
        <w:tc>
          <w:tcPr>
            <w:tcW w:w="1745" w:type="dxa"/>
            <w:vAlign w:val="center"/>
          </w:tcPr>
          <w:p>
            <w:pPr>
              <w:shd w:val="clear" w:color="auto" w:fill="FFFFFF"/>
              <w:spacing w:line="360" w:lineRule="auto"/>
              <w:jc w:val="center"/>
              <w:rPr>
                <w:rFonts w:ascii="仿宋" w:hAnsi="仿宋" w:eastAsia="仿宋"/>
                <w:color w:val="000000"/>
                <w:sz w:val="28"/>
                <w:szCs w:val="28"/>
              </w:rPr>
            </w:pPr>
            <w:r>
              <w:rPr>
                <w:rFonts w:hint="eastAsia" w:ascii="仿宋" w:hAnsi="仿宋" w:eastAsia="仿宋"/>
                <w:color w:val="000000"/>
                <w:kern w:val="0"/>
                <w:sz w:val="28"/>
                <w:szCs w:val="28"/>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0" w:hRule="atLeast"/>
          <w:jc w:val="center"/>
        </w:trPr>
        <w:tc>
          <w:tcPr>
            <w:tcW w:w="856" w:type="dxa"/>
            <w:tcMar>
              <w:top w:w="0" w:type="dxa"/>
              <w:left w:w="108" w:type="dxa"/>
              <w:bottom w:w="0" w:type="dxa"/>
              <w:right w:w="108" w:type="dxa"/>
            </w:tcMar>
            <w:vAlign w:val="center"/>
          </w:tcPr>
          <w:p>
            <w:pPr>
              <w:shd w:val="clear" w:color="auto" w:fill="FFFFFF"/>
              <w:spacing w:line="360" w:lineRule="auto"/>
              <w:jc w:val="center"/>
              <w:rPr>
                <w:rFonts w:ascii="仿宋" w:hAnsi="仿宋" w:eastAsia="仿宋"/>
                <w:color w:val="000000"/>
                <w:sz w:val="28"/>
                <w:szCs w:val="28"/>
              </w:rPr>
            </w:pPr>
            <w:r>
              <w:rPr>
                <w:rFonts w:hint="eastAsia" w:ascii="仿宋" w:hAnsi="仿宋" w:eastAsia="仿宋"/>
                <w:color w:val="000000"/>
                <w:kern w:val="0"/>
                <w:sz w:val="28"/>
                <w:szCs w:val="28"/>
              </w:rPr>
              <w:t>1</w:t>
            </w:r>
          </w:p>
        </w:tc>
        <w:tc>
          <w:tcPr>
            <w:tcW w:w="2594" w:type="dxa"/>
            <w:tcMar>
              <w:top w:w="0" w:type="dxa"/>
              <w:left w:w="108" w:type="dxa"/>
              <w:bottom w:w="0" w:type="dxa"/>
              <w:right w:w="108" w:type="dxa"/>
            </w:tcMar>
            <w:vAlign w:val="center"/>
          </w:tcPr>
          <w:p>
            <w:pPr>
              <w:spacing w:line="360" w:lineRule="auto"/>
              <w:jc w:val="center"/>
              <w:rPr>
                <w:rFonts w:ascii="仿宋" w:hAnsi="仿宋" w:eastAsia="仿宋"/>
                <w:sz w:val="28"/>
                <w:szCs w:val="28"/>
              </w:rPr>
            </w:pPr>
            <w:r>
              <w:rPr>
                <w:rFonts w:hint="eastAsia" w:ascii="仿宋" w:hAnsi="仿宋" w:eastAsia="仿宋"/>
                <w:sz w:val="28"/>
                <w:szCs w:val="28"/>
              </w:rPr>
              <w:t>车载训练设备采购项目</w:t>
            </w:r>
          </w:p>
        </w:tc>
        <w:tc>
          <w:tcPr>
            <w:tcW w:w="2551" w:type="dxa"/>
            <w:vAlign w:val="center"/>
          </w:tcPr>
          <w:p>
            <w:pPr>
              <w:spacing w:line="360" w:lineRule="auto"/>
              <w:jc w:val="center"/>
              <w:rPr>
                <w:rFonts w:ascii="仿宋" w:hAnsi="仿宋" w:eastAsia="仿宋" w:cs="宋体"/>
                <w:sz w:val="28"/>
                <w:szCs w:val="28"/>
              </w:rPr>
            </w:pPr>
            <w:r>
              <w:rPr>
                <w:rFonts w:hint="eastAsia" w:ascii="仿宋" w:hAnsi="仿宋" w:eastAsia="仿宋" w:cs="宋体"/>
                <w:kern w:val="0"/>
                <w:sz w:val="28"/>
                <w:szCs w:val="28"/>
              </w:rPr>
              <w:t>详见第二部分采购项目要求“技术要求”</w:t>
            </w:r>
          </w:p>
        </w:tc>
        <w:tc>
          <w:tcPr>
            <w:tcW w:w="1701" w:type="dxa"/>
            <w:vAlign w:val="center"/>
          </w:tcPr>
          <w:p>
            <w:pPr>
              <w:spacing w:line="360" w:lineRule="auto"/>
              <w:jc w:val="center"/>
              <w:rPr>
                <w:rFonts w:ascii="仿宋" w:hAnsi="仿宋" w:eastAsia="仿宋" w:cs="宋体"/>
                <w:sz w:val="28"/>
                <w:szCs w:val="28"/>
              </w:rPr>
            </w:pPr>
            <w:r>
              <w:rPr>
                <w:rFonts w:hint="eastAsia" w:ascii="仿宋" w:hAnsi="仿宋" w:eastAsia="仿宋" w:cs="宋体"/>
                <w:kern w:val="0"/>
                <w:sz w:val="28"/>
                <w:szCs w:val="28"/>
              </w:rPr>
              <w:t>详见第二部分采购项目要求“技术要求”</w:t>
            </w:r>
          </w:p>
        </w:tc>
        <w:tc>
          <w:tcPr>
            <w:tcW w:w="1745" w:type="dxa"/>
            <w:vAlign w:val="center"/>
          </w:tcPr>
          <w:p>
            <w:pPr>
              <w:spacing w:line="360" w:lineRule="auto"/>
              <w:jc w:val="center"/>
              <w:rPr>
                <w:rFonts w:ascii="仿宋" w:hAnsi="仿宋" w:eastAsia="仿宋"/>
                <w:color w:val="000000"/>
                <w:sz w:val="28"/>
                <w:szCs w:val="28"/>
              </w:rPr>
            </w:pPr>
            <w:r>
              <w:rPr>
                <w:rFonts w:hint="eastAsia" w:ascii="仿宋" w:hAnsi="仿宋" w:eastAsia="仿宋" w:cs="宋体"/>
                <w:kern w:val="0"/>
                <w:sz w:val="28"/>
                <w:szCs w:val="28"/>
              </w:rPr>
              <w:t>详见第二部分采购项目要求“技术要求”</w:t>
            </w:r>
          </w:p>
        </w:tc>
      </w:tr>
    </w:tbl>
    <w:p>
      <w:pPr>
        <w:spacing w:line="360" w:lineRule="auto"/>
        <w:ind w:firstLine="560" w:firstLineChars="200"/>
        <w:rPr>
          <w:rFonts w:ascii="仿宋" w:hAnsi="仿宋" w:eastAsia="仿宋" w:cs="仿宋"/>
          <w:sz w:val="28"/>
          <w:szCs w:val="28"/>
          <w:u w:val="single"/>
        </w:rPr>
      </w:pPr>
      <w:r>
        <w:rPr>
          <w:rFonts w:hint="eastAsia" w:ascii="仿宋" w:hAnsi="仿宋" w:eastAsia="仿宋" w:cs="仿宋"/>
          <w:sz w:val="28"/>
          <w:szCs w:val="28"/>
          <w:lang w:bidi="ar"/>
        </w:rPr>
        <w:t>合同履行期限：自合同签订之日起3</w:t>
      </w:r>
      <w:r>
        <w:rPr>
          <w:rFonts w:ascii="仿宋" w:hAnsi="仿宋" w:eastAsia="仿宋" w:cs="仿宋"/>
          <w:sz w:val="28"/>
          <w:szCs w:val="28"/>
          <w:lang w:bidi="ar"/>
        </w:rPr>
        <w:t>0</w:t>
      </w:r>
      <w:r>
        <w:rPr>
          <w:rFonts w:hint="eastAsia" w:ascii="仿宋" w:hAnsi="仿宋" w:eastAsia="仿宋" w:cs="仿宋"/>
          <w:sz w:val="28"/>
          <w:szCs w:val="28"/>
          <w:lang w:bidi="ar"/>
        </w:rPr>
        <w:t>个日历日完成。</w:t>
      </w:r>
    </w:p>
    <w:p>
      <w:pPr>
        <w:widowControl/>
        <w:spacing w:line="360" w:lineRule="auto"/>
        <w:rPr>
          <w:rFonts w:ascii="仿宋" w:hAnsi="仿宋" w:eastAsia="仿宋" w:cs="黑体"/>
          <w:bCs/>
          <w:sz w:val="28"/>
          <w:szCs w:val="28"/>
        </w:rPr>
      </w:pPr>
      <w:bookmarkStart w:id="9" w:name="_Toc35393799"/>
      <w:bookmarkStart w:id="10" w:name="_Toc28359090"/>
      <w:bookmarkStart w:id="11" w:name="_Toc35393630"/>
      <w:bookmarkStart w:id="12" w:name="_Toc28359013"/>
      <w:r>
        <w:rPr>
          <w:rFonts w:ascii="仿宋" w:hAnsi="仿宋" w:eastAsia="仿宋"/>
          <w:bCs/>
          <w:sz w:val="28"/>
          <w:szCs w:val="28"/>
        </w:rPr>
        <w:t>二、</w:t>
      </w:r>
      <w:r>
        <w:rPr>
          <w:rFonts w:hint="eastAsia" w:ascii="仿宋" w:hAnsi="仿宋" w:eastAsia="仿宋"/>
          <w:bCs/>
          <w:sz w:val="28"/>
          <w:szCs w:val="28"/>
        </w:rPr>
        <w:t>响应</w:t>
      </w:r>
      <w:r>
        <w:rPr>
          <w:rFonts w:ascii="仿宋" w:hAnsi="仿宋" w:eastAsia="仿宋"/>
          <w:bCs/>
          <w:sz w:val="28"/>
          <w:szCs w:val="28"/>
        </w:rPr>
        <w:t>人的资格要求：</w:t>
      </w:r>
      <w:bookmarkEnd w:id="9"/>
      <w:bookmarkEnd w:id="10"/>
      <w:bookmarkEnd w:id="11"/>
      <w:bookmarkEnd w:id="12"/>
    </w:p>
    <w:p>
      <w:pPr>
        <w:spacing w:line="360" w:lineRule="auto"/>
        <w:ind w:firstLine="568" w:firstLineChars="202"/>
        <w:rPr>
          <w:rFonts w:ascii="仿宋" w:hAnsi="仿宋" w:eastAsia="仿宋" w:cs="仿宋"/>
          <w:b/>
          <w:bCs/>
          <w:sz w:val="28"/>
          <w:szCs w:val="28"/>
          <w:lang w:bidi="ar"/>
        </w:rPr>
      </w:pPr>
      <w:bookmarkStart w:id="13" w:name="_Toc35393631"/>
      <w:bookmarkStart w:id="14" w:name="_Toc28359014"/>
      <w:bookmarkStart w:id="15" w:name="_Toc28359091"/>
      <w:bookmarkStart w:id="16" w:name="_Toc35393800"/>
      <w:r>
        <w:rPr>
          <w:rFonts w:hint="eastAsia" w:ascii="仿宋" w:hAnsi="仿宋" w:eastAsia="仿宋" w:cs="仿宋"/>
          <w:b/>
          <w:bCs/>
          <w:sz w:val="28"/>
          <w:szCs w:val="28"/>
          <w:lang w:bidi="ar"/>
        </w:rPr>
        <w:t>1.参加本次采购活动的供应商应当具备政府采购法第二十二条规定的条件。</w:t>
      </w:r>
    </w:p>
    <w:p>
      <w:pPr>
        <w:spacing w:line="360" w:lineRule="auto"/>
        <w:ind w:firstLine="565" w:firstLineChars="202"/>
        <w:rPr>
          <w:rFonts w:ascii="仿宋" w:hAnsi="仿宋" w:eastAsia="仿宋" w:cs="仿宋"/>
          <w:sz w:val="28"/>
          <w:szCs w:val="28"/>
          <w:lang w:bidi="ar"/>
        </w:rPr>
      </w:pPr>
      <w:r>
        <w:rPr>
          <w:rFonts w:hint="eastAsia" w:ascii="仿宋" w:hAnsi="仿宋" w:eastAsia="仿宋" w:cs="仿宋"/>
          <w:sz w:val="28"/>
          <w:szCs w:val="28"/>
          <w:lang w:bidi="ar"/>
        </w:rPr>
        <w:t>2</w:t>
      </w:r>
      <w:r>
        <w:rPr>
          <w:rFonts w:ascii="仿宋" w:hAnsi="仿宋" w:eastAsia="仿宋" w:cs="仿宋"/>
          <w:sz w:val="28"/>
          <w:szCs w:val="28"/>
          <w:lang w:bidi="ar"/>
        </w:rPr>
        <w:t>.响应人</w:t>
      </w:r>
      <w:r>
        <w:rPr>
          <w:rFonts w:hint="eastAsia" w:ascii="仿宋" w:hAnsi="仿宋" w:eastAsia="仿宋" w:cs="仿宋"/>
          <w:sz w:val="28"/>
          <w:szCs w:val="28"/>
          <w:lang w:bidi="ar"/>
        </w:rPr>
        <w:t>应当是具有合法经营资格的法人、其他组织、自然人或者经总公司授权的分支机构，具有良好的信誉；</w:t>
      </w:r>
    </w:p>
    <w:p>
      <w:pPr>
        <w:spacing w:line="360" w:lineRule="auto"/>
        <w:ind w:firstLine="565" w:firstLineChars="202"/>
        <w:rPr>
          <w:rFonts w:ascii="仿宋" w:hAnsi="仿宋" w:eastAsia="仿宋" w:cs="仿宋"/>
          <w:sz w:val="28"/>
          <w:szCs w:val="28"/>
          <w:lang w:bidi="ar"/>
        </w:rPr>
      </w:pPr>
      <w:r>
        <w:rPr>
          <w:rFonts w:ascii="仿宋" w:hAnsi="仿宋" w:eastAsia="仿宋" w:cs="仿宋"/>
          <w:sz w:val="28"/>
          <w:szCs w:val="28"/>
          <w:lang w:bidi="ar"/>
        </w:rPr>
        <w:t>3.</w:t>
      </w:r>
      <w:r>
        <w:rPr>
          <w:rFonts w:hint="eastAsia" w:ascii="仿宋" w:hAnsi="仿宋" w:eastAsia="仿宋" w:cs="仿宋"/>
          <w:sz w:val="28"/>
          <w:szCs w:val="28"/>
          <w:lang w:bidi="ar"/>
        </w:rPr>
        <w:t>单位负责人为同一人或者存在直接控股、管理关系的不同供应商，不得参加同一合同项下的政府采购活动；</w:t>
      </w:r>
    </w:p>
    <w:p>
      <w:pPr>
        <w:spacing w:line="360" w:lineRule="auto"/>
        <w:ind w:firstLine="565" w:firstLineChars="202"/>
        <w:rPr>
          <w:rFonts w:ascii="仿宋" w:hAnsi="仿宋" w:eastAsia="仿宋" w:cs="仿宋"/>
          <w:sz w:val="28"/>
          <w:szCs w:val="28"/>
          <w:lang w:bidi="ar"/>
        </w:rPr>
      </w:pPr>
      <w:r>
        <w:rPr>
          <w:rFonts w:ascii="仿宋" w:hAnsi="仿宋" w:eastAsia="仿宋" w:cs="仿宋"/>
          <w:sz w:val="28"/>
          <w:szCs w:val="28"/>
          <w:lang w:bidi="ar"/>
        </w:rPr>
        <w:t>4.</w:t>
      </w:r>
      <w:r>
        <w:rPr>
          <w:rFonts w:hint="eastAsia" w:ascii="仿宋" w:hAnsi="仿宋" w:eastAsia="仿宋" w:cs="仿宋"/>
          <w:sz w:val="28"/>
          <w:szCs w:val="28"/>
          <w:lang w:bidi="ar"/>
        </w:rPr>
        <w:t>本项目不接受联合体响应。</w:t>
      </w:r>
    </w:p>
    <w:p>
      <w:pPr>
        <w:widowControl/>
        <w:spacing w:line="360" w:lineRule="auto"/>
        <w:rPr>
          <w:rFonts w:ascii="仿宋" w:hAnsi="仿宋" w:eastAsia="仿宋" w:cs="黑体"/>
          <w:bCs/>
          <w:sz w:val="28"/>
          <w:szCs w:val="28"/>
        </w:rPr>
      </w:pPr>
      <w:r>
        <w:rPr>
          <w:rFonts w:ascii="仿宋" w:hAnsi="仿宋" w:eastAsia="仿宋"/>
          <w:bCs/>
          <w:sz w:val="28"/>
          <w:szCs w:val="28"/>
        </w:rPr>
        <w:t>三、获取采购文件</w:t>
      </w:r>
      <w:bookmarkEnd w:id="13"/>
      <w:bookmarkEnd w:id="14"/>
      <w:bookmarkEnd w:id="15"/>
      <w:bookmarkEnd w:id="16"/>
    </w:p>
    <w:p>
      <w:pPr>
        <w:spacing w:line="360" w:lineRule="auto"/>
        <w:ind w:firstLine="540"/>
        <w:rPr>
          <w:rFonts w:ascii="仿宋" w:hAnsi="仿宋" w:eastAsia="仿宋" w:cs="宋体"/>
          <w:sz w:val="28"/>
          <w:szCs w:val="28"/>
        </w:rPr>
      </w:pPr>
      <w:r>
        <w:rPr>
          <w:rFonts w:hint="eastAsia" w:ascii="仿宋" w:hAnsi="仿宋" w:eastAsia="仿宋" w:cs="宋体"/>
          <w:sz w:val="28"/>
          <w:szCs w:val="28"/>
          <w:lang w:bidi="ar"/>
        </w:rPr>
        <w:t>时间：</w:t>
      </w:r>
      <w:r>
        <w:rPr>
          <w:rFonts w:hint="eastAsia" w:ascii="仿宋" w:hAnsi="仿宋" w:eastAsia="仿宋" w:cs="宋体"/>
          <w:sz w:val="28"/>
          <w:szCs w:val="28"/>
          <w:u w:val="single"/>
          <w:lang w:bidi="ar"/>
        </w:rPr>
        <w:t>2022年7月12日</w:t>
      </w:r>
      <w:r>
        <w:rPr>
          <w:rFonts w:hint="eastAsia" w:ascii="仿宋" w:hAnsi="仿宋" w:eastAsia="仿宋" w:cs="宋体"/>
          <w:sz w:val="28"/>
          <w:szCs w:val="28"/>
          <w:lang w:bidi="ar"/>
        </w:rPr>
        <w:t>至</w:t>
      </w:r>
      <w:r>
        <w:rPr>
          <w:rFonts w:hint="eastAsia" w:ascii="仿宋" w:hAnsi="仿宋" w:eastAsia="仿宋" w:cs="宋体"/>
          <w:sz w:val="28"/>
          <w:szCs w:val="28"/>
          <w:u w:val="single"/>
          <w:lang w:bidi="ar"/>
        </w:rPr>
        <w:t xml:space="preserve"> 2022年7 月1</w:t>
      </w:r>
      <w:r>
        <w:rPr>
          <w:rFonts w:hint="eastAsia" w:ascii="仿宋" w:hAnsi="仿宋" w:eastAsia="仿宋" w:cs="宋体"/>
          <w:sz w:val="28"/>
          <w:szCs w:val="28"/>
          <w:u w:val="single"/>
          <w:lang w:val="en-US" w:eastAsia="zh-CN" w:bidi="ar"/>
        </w:rPr>
        <w:t>5</w:t>
      </w:r>
      <w:r>
        <w:rPr>
          <w:rFonts w:hint="eastAsia" w:ascii="仿宋" w:hAnsi="仿宋" w:eastAsia="仿宋" w:cs="宋体"/>
          <w:sz w:val="28"/>
          <w:szCs w:val="28"/>
          <w:u w:val="single"/>
          <w:lang w:bidi="ar"/>
        </w:rPr>
        <w:t>日</w:t>
      </w:r>
    </w:p>
    <w:p>
      <w:pPr>
        <w:spacing w:line="360" w:lineRule="auto"/>
        <w:ind w:firstLine="540"/>
        <w:rPr>
          <w:rFonts w:ascii="仿宋" w:hAnsi="仿宋" w:eastAsia="仿宋" w:cs="宋体"/>
          <w:sz w:val="28"/>
          <w:szCs w:val="28"/>
          <w:u w:val="single"/>
        </w:rPr>
      </w:pPr>
      <w:r>
        <w:rPr>
          <w:rFonts w:hint="eastAsia" w:ascii="仿宋" w:hAnsi="仿宋" w:eastAsia="仿宋" w:cs="宋体"/>
          <w:sz w:val="28"/>
          <w:szCs w:val="28"/>
          <w:lang w:bidi="ar"/>
        </w:rPr>
        <w:t>地点：中达通采电子交易平台</w:t>
      </w:r>
      <w:r>
        <w:rPr>
          <w:rFonts w:ascii="仿宋" w:hAnsi="仿宋" w:eastAsia="仿宋" w:cs="宋体"/>
          <w:sz w:val="28"/>
          <w:szCs w:val="28"/>
          <w:lang w:bidi="ar"/>
        </w:rPr>
        <w:t>http://zdprocurement.com/</w:t>
      </w:r>
    </w:p>
    <w:p>
      <w:pPr>
        <w:spacing w:line="360" w:lineRule="auto"/>
        <w:ind w:firstLine="540"/>
        <w:rPr>
          <w:rFonts w:ascii="仿宋" w:hAnsi="仿宋" w:eastAsia="仿宋" w:cs="宋体"/>
          <w:sz w:val="28"/>
          <w:szCs w:val="28"/>
          <w:lang w:bidi="ar"/>
        </w:rPr>
      </w:pPr>
      <w:r>
        <w:rPr>
          <w:rFonts w:hint="eastAsia" w:ascii="仿宋" w:hAnsi="仿宋" w:eastAsia="仿宋" w:cs="宋体"/>
          <w:sz w:val="28"/>
          <w:szCs w:val="28"/>
          <w:lang w:bidi="ar"/>
        </w:rPr>
        <w:t>方式：在线获取</w:t>
      </w:r>
    </w:p>
    <w:p>
      <w:pPr>
        <w:spacing w:line="360" w:lineRule="auto"/>
        <w:ind w:firstLine="540"/>
        <w:rPr>
          <w:rFonts w:ascii="仿宋" w:hAnsi="仿宋" w:eastAsia="仿宋" w:cs="宋体"/>
          <w:sz w:val="28"/>
          <w:szCs w:val="28"/>
        </w:rPr>
      </w:pPr>
      <w:r>
        <w:rPr>
          <w:rFonts w:hint="eastAsia" w:ascii="仿宋" w:hAnsi="仿宋" w:eastAsia="仿宋" w:cs="宋体"/>
          <w:sz w:val="28"/>
          <w:szCs w:val="28"/>
          <w:lang w:bidi="ar"/>
        </w:rPr>
        <w:t>售价：免费获取</w:t>
      </w:r>
    </w:p>
    <w:p>
      <w:pPr>
        <w:widowControl/>
        <w:spacing w:line="360" w:lineRule="auto"/>
        <w:rPr>
          <w:rFonts w:ascii="仿宋" w:hAnsi="仿宋" w:eastAsia="仿宋" w:cs="黑体"/>
          <w:bCs/>
          <w:sz w:val="28"/>
          <w:szCs w:val="28"/>
        </w:rPr>
      </w:pPr>
      <w:bookmarkStart w:id="17" w:name="_Toc28359092"/>
      <w:bookmarkStart w:id="18" w:name="_Toc35393632"/>
      <w:bookmarkStart w:id="19" w:name="_Toc28359015"/>
      <w:bookmarkStart w:id="20" w:name="_Toc35393801"/>
      <w:r>
        <w:rPr>
          <w:rFonts w:ascii="仿宋" w:hAnsi="仿宋" w:eastAsia="仿宋"/>
          <w:bCs/>
          <w:sz w:val="28"/>
          <w:szCs w:val="28"/>
        </w:rPr>
        <w:t>四、响应文件提交</w:t>
      </w:r>
      <w:bookmarkEnd w:id="17"/>
      <w:bookmarkEnd w:id="18"/>
      <w:bookmarkEnd w:id="19"/>
      <w:bookmarkEnd w:id="20"/>
    </w:p>
    <w:p>
      <w:pPr>
        <w:spacing w:line="360" w:lineRule="auto"/>
        <w:ind w:firstLine="560" w:firstLineChars="200"/>
        <w:rPr>
          <w:rFonts w:ascii="仿宋" w:hAnsi="仿宋" w:eastAsia="仿宋" w:cs="仿宋"/>
          <w:bCs/>
          <w:sz w:val="28"/>
          <w:szCs w:val="28"/>
          <w:u w:val="single"/>
        </w:rPr>
      </w:pPr>
      <w:r>
        <w:rPr>
          <w:rFonts w:hint="eastAsia" w:ascii="仿宋" w:hAnsi="仿宋" w:eastAsia="仿宋" w:cs="仿宋"/>
          <w:sz w:val="28"/>
          <w:szCs w:val="28"/>
          <w:lang w:bidi="ar"/>
        </w:rPr>
        <w:t>截止时间：</w:t>
      </w:r>
      <w:r>
        <w:rPr>
          <w:rFonts w:hint="eastAsia" w:ascii="仿宋" w:hAnsi="仿宋" w:eastAsia="仿宋" w:cs="仿宋"/>
          <w:sz w:val="28"/>
          <w:szCs w:val="28"/>
          <w:u w:val="single"/>
          <w:lang w:bidi="ar"/>
        </w:rPr>
        <w:t xml:space="preserve"> 2022</w:t>
      </w:r>
      <w:r>
        <w:rPr>
          <w:rFonts w:hint="eastAsia" w:ascii="仿宋" w:hAnsi="仿宋" w:eastAsia="仿宋" w:cs="仿宋"/>
          <w:bCs/>
          <w:sz w:val="28"/>
          <w:szCs w:val="28"/>
          <w:u w:val="single"/>
          <w:lang w:bidi="ar"/>
        </w:rPr>
        <w:t>年7 月15 日 9 点 30 分</w:t>
      </w:r>
      <w:r>
        <w:rPr>
          <w:rFonts w:hint="eastAsia" w:ascii="仿宋" w:hAnsi="仿宋" w:eastAsia="仿宋" w:cs="仿宋"/>
          <w:bCs/>
          <w:sz w:val="28"/>
          <w:szCs w:val="28"/>
          <w:lang w:bidi="ar"/>
        </w:rPr>
        <w:t>（北京时间）</w:t>
      </w:r>
    </w:p>
    <w:p>
      <w:pPr>
        <w:spacing w:line="360" w:lineRule="auto"/>
        <w:ind w:firstLine="560" w:firstLineChars="200"/>
        <w:rPr>
          <w:rFonts w:hint="eastAsia" w:ascii="仿宋" w:hAnsi="仿宋" w:eastAsia="仿宋" w:cs="仿宋"/>
          <w:sz w:val="28"/>
          <w:szCs w:val="28"/>
          <w:lang w:bidi="ar"/>
        </w:rPr>
      </w:pPr>
      <w:r>
        <w:rPr>
          <w:rFonts w:hint="eastAsia" w:ascii="仿宋" w:hAnsi="仿宋" w:eastAsia="仿宋" w:cs="仿宋"/>
          <w:sz w:val="28"/>
          <w:szCs w:val="28"/>
          <w:lang w:bidi="ar"/>
        </w:rPr>
        <w:t>地点：本项目响应文件在线提交，供应商无需到达现场递交文件。</w:t>
      </w:r>
    </w:p>
    <w:p>
      <w:pPr>
        <w:pStyle w:val="25"/>
        <w:numPr>
          <w:numId w:val="0"/>
        </w:numPr>
        <w:spacing w:line="360" w:lineRule="auto"/>
        <w:ind w:leftChars="0"/>
        <w:rPr>
          <w:rFonts w:ascii="仿宋" w:hAnsi="仿宋" w:eastAsia="仿宋" w:cs="仿宋"/>
          <w:sz w:val="28"/>
          <w:szCs w:val="28"/>
          <w:lang w:bidi="ar"/>
        </w:rPr>
      </w:pPr>
      <w:r>
        <w:rPr>
          <w:rFonts w:hint="eastAsia" w:ascii="仿宋" w:hAnsi="仿宋" w:eastAsia="仿宋" w:cs="仿宋"/>
          <w:sz w:val="28"/>
          <w:szCs w:val="28"/>
          <w:lang w:val="en-US" w:eastAsia="zh-CN" w:bidi="ar"/>
        </w:rPr>
        <w:t>五、</w:t>
      </w:r>
      <w:r>
        <w:rPr>
          <w:rFonts w:hint="eastAsia" w:ascii="仿宋" w:hAnsi="仿宋" w:eastAsia="仿宋" w:cs="仿宋"/>
          <w:sz w:val="28"/>
          <w:szCs w:val="28"/>
          <w:lang w:bidi="ar"/>
        </w:rPr>
        <w:t>成交服务费</w:t>
      </w:r>
    </w:p>
    <w:p>
      <w:pPr>
        <w:pStyle w:val="25"/>
        <w:tabs>
          <w:tab w:val="left" w:pos="1077"/>
        </w:tabs>
        <w:spacing w:line="360" w:lineRule="auto"/>
        <w:ind w:left="240" w:firstLine="280" w:firstLineChars="100"/>
        <w:rPr>
          <w:rFonts w:ascii="仿宋" w:hAnsi="仿宋" w:eastAsia="仿宋"/>
          <w:sz w:val="28"/>
          <w:szCs w:val="28"/>
        </w:rPr>
      </w:pPr>
      <w:r>
        <w:rPr>
          <w:rFonts w:hint="eastAsia" w:ascii="仿宋" w:hAnsi="仿宋" w:eastAsia="仿宋"/>
          <w:sz w:val="28"/>
          <w:szCs w:val="28"/>
        </w:rPr>
        <w:t>（一）成交供应商应在成交结果公告确定成交后三（3）个工作日向登录“中达通采交易平台”交纳成交服务费。</w:t>
      </w:r>
    </w:p>
    <w:p>
      <w:pPr>
        <w:pStyle w:val="25"/>
        <w:tabs>
          <w:tab w:val="left" w:pos="1077"/>
        </w:tabs>
        <w:spacing w:line="360" w:lineRule="auto"/>
        <w:ind w:left="240" w:firstLine="280" w:firstLineChars="100"/>
        <w:rPr>
          <w:rFonts w:hint="eastAsia" w:ascii="仿宋" w:hAnsi="仿宋" w:eastAsia="仿宋" w:cs="仿宋"/>
          <w:sz w:val="28"/>
          <w:szCs w:val="28"/>
          <w:lang w:bidi="ar"/>
        </w:rPr>
      </w:pPr>
      <w:r>
        <w:rPr>
          <w:rFonts w:hint="eastAsia" w:ascii="仿宋" w:hAnsi="仿宋" w:eastAsia="仿宋"/>
          <w:sz w:val="28"/>
          <w:szCs w:val="28"/>
        </w:rPr>
        <w:t>（二）收费标准按中标标的成交金额的1</w:t>
      </w:r>
      <w:r>
        <w:rPr>
          <w:rFonts w:ascii="仿宋" w:hAnsi="仿宋" w:eastAsia="仿宋"/>
          <w:sz w:val="28"/>
          <w:szCs w:val="28"/>
        </w:rPr>
        <w:t>%</w:t>
      </w:r>
      <w:r>
        <w:rPr>
          <w:rFonts w:hint="eastAsia" w:ascii="仿宋" w:hAnsi="仿宋" w:eastAsia="仿宋"/>
          <w:sz w:val="28"/>
          <w:szCs w:val="28"/>
        </w:rPr>
        <w:t>收取（不足3</w:t>
      </w:r>
      <w:r>
        <w:rPr>
          <w:rFonts w:ascii="仿宋" w:hAnsi="仿宋" w:eastAsia="仿宋"/>
          <w:sz w:val="28"/>
          <w:szCs w:val="28"/>
        </w:rPr>
        <w:t>00</w:t>
      </w:r>
      <w:r>
        <w:rPr>
          <w:rFonts w:hint="eastAsia" w:ascii="仿宋" w:hAnsi="仿宋" w:eastAsia="仿宋"/>
          <w:sz w:val="28"/>
          <w:szCs w:val="28"/>
        </w:rPr>
        <w:t>元的按3</w:t>
      </w:r>
      <w:r>
        <w:rPr>
          <w:rFonts w:ascii="仿宋" w:hAnsi="仿宋" w:eastAsia="仿宋"/>
          <w:sz w:val="28"/>
          <w:szCs w:val="28"/>
        </w:rPr>
        <w:t>00</w:t>
      </w:r>
      <w:r>
        <w:rPr>
          <w:rFonts w:hint="eastAsia" w:ascii="仿宋" w:hAnsi="仿宋" w:eastAsia="仿宋"/>
          <w:sz w:val="28"/>
          <w:szCs w:val="28"/>
        </w:rPr>
        <w:t>元收取）。</w:t>
      </w:r>
    </w:p>
    <w:p>
      <w:pPr>
        <w:widowControl/>
        <w:spacing w:line="360" w:lineRule="auto"/>
        <w:rPr>
          <w:rFonts w:ascii="仿宋" w:hAnsi="仿宋" w:eastAsia="仿宋" w:cs="黑体"/>
          <w:bCs/>
          <w:sz w:val="28"/>
          <w:szCs w:val="28"/>
        </w:rPr>
      </w:pPr>
      <w:bookmarkStart w:id="21" w:name="_Toc35393636"/>
      <w:bookmarkStart w:id="22" w:name="_Toc28359095"/>
      <w:bookmarkStart w:id="23" w:name="_Toc35393805"/>
      <w:bookmarkStart w:id="24" w:name="_Toc28359018"/>
      <w:r>
        <w:rPr>
          <w:rFonts w:hint="eastAsia" w:ascii="仿宋" w:hAnsi="仿宋" w:eastAsia="仿宋"/>
          <w:bCs/>
          <w:sz w:val="28"/>
          <w:szCs w:val="28"/>
          <w:lang w:val="en-US" w:eastAsia="zh-CN"/>
        </w:rPr>
        <w:t>六</w:t>
      </w:r>
      <w:r>
        <w:rPr>
          <w:rFonts w:ascii="仿宋" w:hAnsi="仿宋" w:eastAsia="仿宋"/>
          <w:bCs/>
          <w:sz w:val="28"/>
          <w:szCs w:val="28"/>
        </w:rPr>
        <w:t>、凡对本次采购提出询问，请按以下方式联系。</w:t>
      </w:r>
      <w:bookmarkEnd w:id="21"/>
      <w:bookmarkEnd w:id="22"/>
      <w:bookmarkEnd w:id="23"/>
      <w:bookmarkEnd w:id="24"/>
    </w:p>
    <w:p>
      <w:pPr>
        <w:widowControl/>
        <w:spacing w:line="360" w:lineRule="auto"/>
        <w:ind w:firstLine="840" w:firstLineChars="300"/>
        <w:rPr>
          <w:rFonts w:ascii="仿宋" w:hAnsi="仿宋" w:eastAsia="仿宋" w:cs="仿宋"/>
          <w:bCs/>
          <w:sz w:val="28"/>
          <w:szCs w:val="28"/>
        </w:rPr>
      </w:pPr>
      <w:bookmarkStart w:id="25" w:name="_Toc28359019"/>
      <w:bookmarkStart w:id="26" w:name="_Toc35393806"/>
      <w:bookmarkStart w:id="27" w:name="_Toc28359096"/>
      <w:bookmarkStart w:id="28" w:name="_Toc35393637"/>
      <w:r>
        <w:rPr>
          <w:rFonts w:hint="eastAsia" w:ascii="仿宋" w:hAnsi="仿宋" w:eastAsia="仿宋" w:cs="仿宋"/>
          <w:bCs/>
          <w:sz w:val="28"/>
          <w:szCs w:val="28"/>
        </w:rPr>
        <w:t>1.采购人信息</w:t>
      </w:r>
      <w:bookmarkEnd w:id="25"/>
      <w:bookmarkEnd w:id="26"/>
      <w:bookmarkEnd w:id="27"/>
      <w:bookmarkEnd w:id="28"/>
      <w:bookmarkStart w:id="42" w:name="_GoBack"/>
      <w:bookmarkEnd w:id="42"/>
    </w:p>
    <w:p>
      <w:pPr>
        <w:spacing w:line="360" w:lineRule="auto"/>
        <w:ind w:left="1129" w:leftChars="371" w:hanging="350" w:hangingChars="125"/>
        <w:jc w:val="left"/>
        <w:rPr>
          <w:rFonts w:ascii="仿宋" w:hAnsi="仿宋" w:eastAsia="仿宋" w:cs="仿宋"/>
          <w:sz w:val="28"/>
          <w:szCs w:val="28"/>
        </w:rPr>
      </w:pPr>
      <w:r>
        <w:rPr>
          <w:rFonts w:hint="eastAsia" w:ascii="仿宋" w:hAnsi="仿宋" w:eastAsia="仿宋" w:cs="仿宋"/>
          <w:sz w:val="28"/>
          <w:szCs w:val="28"/>
          <w:lang w:bidi="ar"/>
        </w:rPr>
        <w:t>名    称：</w:t>
      </w:r>
      <w:r>
        <w:rPr>
          <w:rFonts w:hint="eastAsia" w:ascii="仿宋" w:hAnsi="仿宋" w:eastAsia="仿宋" w:cs="仿宋"/>
          <w:sz w:val="28"/>
          <w:szCs w:val="28"/>
          <w:u w:val="single"/>
          <w:lang w:bidi="ar"/>
        </w:rPr>
        <w:t>广东省江门市蓬江区融顺机动车驾驶人培训有限公司</w:t>
      </w:r>
    </w:p>
    <w:p>
      <w:pPr>
        <w:spacing w:line="360" w:lineRule="auto"/>
        <w:ind w:left="1129" w:leftChars="371" w:hanging="350" w:hangingChars="125"/>
        <w:jc w:val="left"/>
        <w:rPr>
          <w:rFonts w:ascii="仿宋" w:hAnsi="仿宋" w:eastAsia="仿宋" w:cs="仿宋"/>
          <w:sz w:val="28"/>
          <w:szCs w:val="28"/>
          <w:u w:val="single"/>
          <w:lang w:bidi="ar"/>
        </w:rPr>
      </w:pPr>
      <w:r>
        <w:rPr>
          <w:rFonts w:hint="eastAsia" w:ascii="仿宋" w:hAnsi="仿宋" w:eastAsia="仿宋" w:cs="仿宋"/>
          <w:sz w:val="28"/>
          <w:szCs w:val="28"/>
          <w:lang w:bidi="ar"/>
        </w:rPr>
        <w:t>地    址：</w:t>
      </w:r>
      <w:r>
        <w:rPr>
          <w:rFonts w:hint="eastAsia" w:ascii="仿宋" w:hAnsi="仿宋" w:eastAsia="仿宋" w:cs="仿宋"/>
          <w:sz w:val="28"/>
          <w:szCs w:val="28"/>
          <w:u w:val="single"/>
          <w:lang w:bidi="ar"/>
        </w:rPr>
        <w:t>广东省江门市蓬江区建设三路126号</w:t>
      </w:r>
    </w:p>
    <w:p>
      <w:pPr>
        <w:spacing w:line="360" w:lineRule="auto"/>
        <w:ind w:left="1129" w:leftChars="371" w:hanging="350" w:hangingChars="125"/>
        <w:jc w:val="left"/>
        <w:rPr>
          <w:rFonts w:ascii="仿宋" w:hAnsi="仿宋" w:eastAsia="仿宋" w:cs="仿宋"/>
          <w:sz w:val="28"/>
          <w:szCs w:val="28"/>
        </w:rPr>
      </w:pPr>
      <w:r>
        <w:rPr>
          <w:rFonts w:hint="eastAsia" w:ascii="仿宋" w:hAnsi="仿宋" w:eastAsia="仿宋" w:cs="仿宋"/>
          <w:sz w:val="28"/>
          <w:szCs w:val="28"/>
          <w:lang w:bidi="ar"/>
        </w:rPr>
        <w:t>联系方式：</w:t>
      </w:r>
      <w:r>
        <w:rPr>
          <w:rFonts w:ascii="仿宋" w:hAnsi="仿宋" w:eastAsia="仿宋" w:cs="仿宋"/>
          <w:sz w:val="28"/>
          <w:szCs w:val="28"/>
          <w:u w:val="single"/>
          <w:lang w:bidi="ar"/>
        </w:rPr>
        <w:t>3456660</w:t>
      </w:r>
    </w:p>
    <w:p>
      <w:pPr>
        <w:widowControl/>
        <w:spacing w:line="360" w:lineRule="auto"/>
        <w:ind w:firstLine="840" w:firstLineChars="300"/>
        <w:rPr>
          <w:rFonts w:ascii="仿宋" w:hAnsi="仿宋" w:eastAsia="仿宋" w:cs="仿宋"/>
          <w:bCs/>
          <w:sz w:val="28"/>
          <w:szCs w:val="28"/>
        </w:rPr>
      </w:pPr>
      <w:bookmarkStart w:id="29" w:name="_Toc35393638"/>
      <w:bookmarkStart w:id="30" w:name="_Toc28359097"/>
      <w:bookmarkStart w:id="31" w:name="_Toc35393807"/>
      <w:bookmarkStart w:id="32" w:name="_Toc28359020"/>
      <w:r>
        <w:rPr>
          <w:rFonts w:hint="eastAsia" w:ascii="仿宋" w:hAnsi="仿宋" w:eastAsia="仿宋" w:cs="仿宋"/>
          <w:bCs/>
          <w:sz w:val="28"/>
          <w:szCs w:val="28"/>
        </w:rPr>
        <w:t>2.平台操作咨询单位</w:t>
      </w:r>
      <w:bookmarkEnd w:id="29"/>
      <w:bookmarkEnd w:id="30"/>
      <w:bookmarkEnd w:id="31"/>
      <w:bookmarkEnd w:id="32"/>
    </w:p>
    <w:p>
      <w:pPr>
        <w:spacing w:line="360" w:lineRule="auto"/>
        <w:ind w:firstLine="840" w:firstLineChars="300"/>
        <w:rPr>
          <w:rFonts w:hint="default" w:ascii="仿宋" w:hAnsi="仿宋" w:eastAsia="仿宋" w:cs="仿宋"/>
          <w:sz w:val="28"/>
          <w:szCs w:val="28"/>
          <w:lang w:val="en-US" w:eastAsia="zh-CN"/>
        </w:rPr>
      </w:pPr>
      <w:r>
        <w:rPr>
          <w:rFonts w:hint="eastAsia" w:ascii="仿宋" w:hAnsi="仿宋" w:eastAsia="仿宋" w:cs="仿宋"/>
          <w:sz w:val="28"/>
          <w:szCs w:val="28"/>
          <w:lang w:bidi="ar"/>
        </w:rPr>
        <w:t>名    称：</w:t>
      </w:r>
      <w:r>
        <w:rPr>
          <w:rFonts w:hint="eastAsia" w:ascii="仿宋" w:hAnsi="仿宋" w:eastAsia="仿宋" w:cs="仿宋"/>
          <w:sz w:val="28"/>
          <w:szCs w:val="28"/>
          <w:u w:val="single"/>
          <w:lang w:val="en-US" w:eastAsia="zh-CN" w:bidi="ar"/>
        </w:rPr>
        <w:t>中达通采（广东）信息科技有限公司</w:t>
      </w:r>
    </w:p>
    <w:p>
      <w:pPr>
        <w:spacing w:line="360" w:lineRule="auto"/>
        <w:ind w:firstLine="840" w:firstLineChars="300"/>
        <w:rPr>
          <w:rFonts w:ascii="仿宋" w:hAnsi="仿宋" w:eastAsia="仿宋" w:cs="仿宋"/>
          <w:sz w:val="28"/>
          <w:szCs w:val="28"/>
        </w:rPr>
      </w:pPr>
      <w:r>
        <w:rPr>
          <w:rFonts w:hint="eastAsia" w:ascii="仿宋" w:hAnsi="仿宋" w:eastAsia="仿宋" w:cs="仿宋"/>
          <w:sz w:val="28"/>
          <w:szCs w:val="28"/>
          <w:lang w:bidi="ar"/>
        </w:rPr>
        <w:t>地　　址：</w:t>
      </w:r>
      <w:r>
        <w:rPr>
          <w:rFonts w:hint="eastAsia" w:ascii="仿宋" w:hAnsi="仿宋" w:eastAsia="仿宋" w:cs="仿宋"/>
          <w:sz w:val="28"/>
          <w:szCs w:val="28"/>
          <w:u w:val="single"/>
          <w:lang w:bidi="ar"/>
        </w:rPr>
        <w:t>广东省江门市蓬江区东华二路2号五层502</w:t>
      </w:r>
    </w:p>
    <w:p>
      <w:pPr>
        <w:spacing w:line="360" w:lineRule="auto"/>
        <w:ind w:firstLine="840" w:firstLineChars="300"/>
        <w:rPr>
          <w:rFonts w:ascii="仿宋" w:hAnsi="仿宋" w:eastAsia="仿宋" w:cs="仿宋"/>
          <w:sz w:val="28"/>
          <w:szCs w:val="28"/>
          <w:lang w:bidi="ar"/>
        </w:rPr>
      </w:pPr>
      <w:r>
        <w:rPr>
          <w:rFonts w:hint="eastAsia" w:ascii="仿宋" w:hAnsi="仿宋" w:eastAsia="仿宋" w:cs="仿宋"/>
          <w:sz w:val="28"/>
          <w:szCs w:val="28"/>
          <w:lang w:bidi="ar"/>
        </w:rPr>
        <w:t>联系方式：</w:t>
      </w:r>
      <w:r>
        <w:rPr>
          <w:rFonts w:hint="eastAsia" w:ascii="仿宋" w:hAnsi="仿宋" w:eastAsia="仿宋" w:cs="仿宋"/>
          <w:sz w:val="28"/>
          <w:szCs w:val="28"/>
          <w:u w:val="single"/>
          <w:lang w:bidi="ar"/>
        </w:rPr>
        <w:t>0750-3128333</w:t>
      </w:r>
    </w:p>
    <w:p>
      <w:pPr>
        <w:keepNext w:val="0"/>
        <w:keepLines w:val="0"/>
        <w:pageBreakBefore/>
        <w:widowControl/>
        <w:kinsoku/>
        <w:wordWrap/>
        <w:overflowPunct/>
        <w:topLinePunct w:val="0"/>
        <w:autoSpaceDE/>
        <w:autoSpaceDN/>
        <w:bidi w:val="0"/>
        <w:adjustRightInd/>
        <w:snapToGrid/>
        <w:spacing w:line="360" w:lineRule="auto"/>
        <w:jc w:val="center"/>
        <w:textAlignment w:val="auto"/>
        <w:rPr>
          <w:rFonts w:ascii="仿宋" w:hAnsi="仿宋" w:eastAsia="仿宋" w:cs="宋体"/>
          <w:b/>
          <w:sz w:val="44"/>
          <w:szCs w:val="44"/>
          <w:lang w:bidi="ar"/>
        </w:rPr>
      </w:pPr>
      <w:r>
        <w:rPr>
          <w:rFonts w:hint="eastAsia" w:ascii="仿宋" w:hAnsi="仿宋" w:eastAsia="仿宋" w:cs="宋体"/>
          <w:b/>
          <w:sz w:val="44"/>
          <w:szCs w:val="44"/>
          <w:lang w:bidi="ar"/>
        </w:rPr>
        <w:t xml:space="preserve">第二部分 </w:t>
      </w:r>
      <w:r>
        <w:rPr>
          <w:rFonts w:ascii="仿宋" w:hAnsi="仿宋" w:eastAsia="仿宋" w:cs="宋体"/>
          <w:b/>
          <w:sz w:val="44"/>
          <w:szCs w:val="44"/>
          <w:lang w:bidi="ar"/>
        </w:rPr>
        <w:t xml:space="preserve"> </w:t>
      </w:r>
      <w:r>
        <w:rPr>
          <w:rFonts w:hint="eastAsia" w:ascii="仿宋" w:hAnsi="仿宋" w:eastAsia="仿宋" w:cs="宋体"/>
          <w:b/>
          <w:sz w:val="44"/>
          <w:szCs w:val="44"/>
          <w:lang w:bidi="ar"/>
        </w:rPr>
        <w:t>采购项目要求</w:t>
      </w:r>
    </w:p>
    <w:p>
      <w:pPr>
        <w:spacing w:line="360" w:lineRule="auto"/>
        <w:ind w:firstLine="565" w:firstLineChars="202"/>
        <w:rPr>
          <w:rFonts w:ascii="仿宋" w:hAnsi="仿宋" w:eastAsia="仿宋" w:cs="仿宋"/>
          <w:sz w:val="28"/>
          <w:szCs w:val="28"/>
          <w:lang w:bidi="ar"/>
        </w:rPr>
      </w:pPr>
      <w:r>
        <w:rPr>
          <w:rFonts w:hint="eastAsia" w:ascii="仿宋" w:hAnsi="仿宋" w:eastAsia="仿宋" w:cs="仿宋"/>
          <w:sz w:val="28"/>
          <w:szCs w:val="28"/>
          <w:lang w:bidi="ar"/>
        </w:rPr>
        <w:t>一、商务要求：</w:t>
      </w:r>
    </w:p>
    <w:p>
      <w:pPr>
        <w:spacing w:line="360" w:lineRule="auto"/>
        <w:ind w:firstLine="565" w:firstLineChars="202"/>
        <w:rPr>
          <w:rFonts w:ascii="仿宋" w:hAnsi="仿宋" w:eastAsia="仿宋" w:cs="仿宋"/>
          <w:sz w:val="28"/>
          <w:szCs w:val="28"/>
          <w:lang w:bidi="ar"/>
        </w:rPr>
      </w:pPr>
      <w:r>
        <w:rPr>
          <w:rFonts w:hint="eastAsia" w:ascii="仿宋" w:hAnsi="仿宋" w:eastAsia="仿宋" w:cs="仿宋"/>
          <w:sz w:val="28"/>
          <w:szCs w:val="28"/>
          <w:lang w:bidi="ar"/>
        </w:rPr>
        <w:t>（一）资质要求：</w:t>
      </w:r>
    </w:p>
    <w:p>
      <w:pPr>
        <w:spacing w:line="360" w:lineRule="auto"/>
        <w:ind w:firstLine="568" w:firstLineChars="202"/>
        <w:rPr>
          <w:rFonts w:ascii="仿宋" w:hAnsi="仿宋" w:eastAsia="仿宋" w:cs="仿宋"/>
          <w:b/>
          <w:bCs/>
          <w:sz w:val="28"/>
          <w:szCs w:val="28"/>
          <w:lang w:bidi="ar"/>
        </w:rPr>
      </w:pPr>
      <w:r>
        <w:rPr>
          <w:rFonts w:hint="eastAsia" w:ascii="仿宋" w:hAnsi="仿宋" w:eastAsia="仿宋" w:cs="仿宋"/>
          <w:b/>
          <w:bCs/>
          <w:sz w:val="28"/>
          <w:szCs w:val="28"/>
          <w:lang w:bidi="ar"/>
        </w:rPr>
        <w:t>1.参加本次采购活动的供应商应当具备政府采购法第二十二条规定的条件。</w:t>
      </w:r>
    </w:p>
    <w:p>
      <w:pPr>
        <w:spacing w:line="360" w:lineRule="auto"/>
        <w:ind w:firstLine="565" w:firstLineChars="202"/>
        <w:rPr>
          <w:rFonts w:ascii="仿宋" w:hAnsi="仿宋" w:eastAsia="仿宋" w:cs="仿宋"/>
          <w:sz w:val="28"/>
          <w:szCs w:val="28"/>
          <w:lang w:bidi="ar"/>
        </w:rPr>
      </w:pPr>
      <w:r>
        <w:rPr>
          <w:rFonts w:hint="eastAsia" w:ascii="仿宋" w:hAnsi="仿宋" w:eastAsia="仿宋" w:cs="仿宋"/>
          <w:sz w:val="28"/>
          <w:szCs w:val="28"/>
          <w:lang w:bidi="ar"/>
        </w:rPr>
        <w:t>2</w:t>
      </w:r>
      <w:r>
        <w:rPr>
          <w:rFonts w:ascii="仿宋" w:hAnsi="仿宋" w:eastAsia="仿宋" w:cs="仿宋"/>
          <w:sz w:val="28"/>
          <w:szCs w:val="28"/>
          <w:lang w:bidi="ar"/>
        </w:rPr>
        <w:t>.响应人</w:t>
      </w:r>
      <w:r>
        <w:rPr>
          <w:rFonts w:hint="eastAsia" w:ascii="仿宋" w:hAnsi="仿宋" w:eastAsia="仿宋" w:cs="仿宋"/>
          <w:sz w:val="28"/>
          <w:szCs w:val="28"/>
          <w:lang w:bidi="ar"/>
        </w:rPr>
        <w:t>应当是具有合法经营资格的法人、其他组织、自然人或者经总公司授权的分支机构，具有良好的信誉；</w:t>
      </w:r>
    </w:p>
    <w:p>
      <w:pPr>
        <w:spacing w:line="360" w:lineRule="auto"/>
        <w:ind w:firstLine="565" w:firstLineChars="202"/>
        <w:rPr>
          <w:rFonts w:ascii="仿宋" w:hAnsi="仿宋" w:eastAsia="仿宋" w:cs="仿宋"/>
          <w:sz w:val="28"/>
          <w:szCs w:val="28"/>
          <w:lang w:bidi="ar"/>
        </w:rPr>
      </w:pPr>
      <w:r>
        <w:rPr>
          <w:rFonts w:ascii="仿宋" w:hAnsi="仿宋" w:eastAsia="仿宋" w:cs="仿宋"/>
          <w:sz w:val="28"/>
          <w:szCs w:val="28"/>
          <w:lang w:bidi="ar"/>
        </w:rPr>
        <w:t>3.</w:t>
      </w:r>
      <w:r>
        <w:rPr>
          <w:rFonts w:hint="eastAsia" w:ascii="仿宋" w:hAnsi="仿宋" w:eastAsia="仿宋" w:cs="仿宋"/>
          <w:sz w:val="28"/>
          <w:szCs w:val="28"/>
          <w:lang w:bidi="ar"/>
        </w:rPr>
        <w:t>单位负责人为同一人或者存在直接控股、管理关系的不同供应商，不得参加同一合同项下的政府采购活动；</w:t>
      </w:r>
    </w:p>
    <w:p>
      <w:pPr>
        <w:spacing w:line="360" w:lineRule="auto"/>
        <w:ind w:firstLine="565" w:firstLineChars="202"/>
        <w:rPr>
          <w:rFonts w:ascii="仿宋" w:hAnsi="仿宋" w:eastAsia="仿宋" w:cs="仿宋"/>
          <w:sz w:val="28"/>
          <w:szCs w:val="28"/>
          <w:lang w:bidi="ar"/>
        </w:rPr>
      </w:pPr>
      <w:r>
        <w:rPr>
          <w:rFonts w:ascii="仿宋" w:hAnsi="仿宋" w:eastAsia="仿宋" w:cs="仿宋"/>
          <w:sz w:val="28"/>
          <w:szCs w:val="28"/>
          <w:lang w:bidi="ar"/>
        </w:rPr>
        <w:t>4.</w:t>
      </w:r>
      <w:r>
        <w:rPr>
          <w:rFonts w:hint="eastAsia" w:ascii="仿宋" w:hAnsi="仿宋" w:eastAsia="仿宋" w:cs="仿宋"/>
          <w:sz w:val="28"/>
          <w:szCs w:val="28"/>
          <w:lang w:bidi="ar"/>
        </w:rPr>
        <w:t>本项目不接受联合体响应。</w:t>
      </w:r>
    </w:p>
    <w:p>
      <w:pPr>
        <w:spacing w:line="360" w:lineRule="auto"/>
        <w:ind w:firstLine="565" w:firstLineChars="202"/>
        <w:rPr>
          <w:rFonts w:ascii="仿宋" w:hAnsi="仿宋" w:eastAsia="仿宋" w:cs="仿宋"/>
          <w:sz w:val="28"/>
          <w:szCs w:val="28"/>
          <w:lang w:bidi="ar"/>
        </w:rPr>
      </w:pPr>
      <w:r>
        <w:rPr>
          <w:rFonts w:hint="eastAsia" w:ascii="仿宋" w:hAnsi="仿宋" w:eastAsia="仿宋" w:cs="仿宋"/>
          <w:sz w:val="28"/>
          <w:szCs w:val="28"/>
          <w:lang w:bidi="ar"/>
        </w:rPr>
        <w:t>（二）响应人所响应的产品应当是在中国境内合法销售，且符合国家有关部门规定的相应技术、节能、安全和环保标准；国家有关部门对响应人所响应的产品有强制性规定或要求的，响应人所响应的产品应当符合相应规定或要求。</w:t>
      </w:r>
    </w:p>
    <w:p>
      <w:pPr>
        <w:spacing w:line="360" w:lineRule="auto"/>
        <w:ind w:firstLine="565" w:firstLineChars="202"/>
        <w:rPr>
          <w:rFonts w:ascii="仿宋" w:hAnsi="仿宋" w:eastAsia="仿宋" w:cs="仿宋"/>
          <w:sz w:val="28"/>
          <w:szCs w:val="28"/>
          <w:lang w:bidi="ar"/>
        </w:rPr>
      </w:pPr>
      <w:r>
        <w:rPr>
          <w:rFonts w:hint="eastAsia" w:ascii="仿宋" w:hAnsi="仿宋" w:eastAsia="仿宋" w:cs="仿宋"/>
          <w:sz w:val="28"/>
          <w:szCs w:val="28"/>
          <w:lang w:bidi="ar"/>
        </w:rPr>
        <w:t>（三）供货、安装及调试期：自合同签订之日起30个日历日。</w:t>
      </w:r>
    </w:p>
    <w:p>
      <w:pPr>
        <w:spacing w:line="360" w:lineRule="auto"/>
        <w:ind w:firstLine="565" w:firstLineChars="202"/>
        <w:rPr>
          <w:rFonts w:ascii="仿宋" w:hAnsi="仿宋" w:eastAsia="仿宋" w:cs="仿宋"/>
          <w:sz w:val="28"/>
          <w:szCs w:val="28"/>
          <w:lang w:bidi="ar"/>
        </w:rPr>
      </w:pPr>
      <w:r>
        <w:rPr>
          <w:rFonts w:hint="eastAsia" w:ascii="仿宋" w:hAnsi="仿宋" w:eastAsia="仿宋" w:cs="仿宋"/>
          <w:sz w:val="28"/>
          <w:szCs w:val="28"/>
          <w:lang w:bidi="ar"/>
        </w:rPr>
        <w:t xml:space="preserve">（四）交货地点：江门市内，采购人指定地点。 </w:t>
      </w:r>
    </w:p>
    <w:p>
      <w:pPr>
        <w:spacing w:line="360" w:lineRule="auto"/>
        <w:ind w:firstLine="565" w:firstLineChars="202"/>
        <w:rPr>
          <w:rFonts w:ascii="仿宋" w:hAnsi="仿宋" w:eastAsia="仿宋" w:cs="仿宋"/>
          <w:sz w:val="28"/>
          <w:szCs w:val="28"/>
          <w:lang w:bidi="ar"/>
        </w:rPr>
      </w:pPr>
      <w:r>
        <w:rPr>
          <w:rFonts w:hint="eastAsia" w:ascii="仿宋" w:hAnsi="仿宋" w:eastAsia="仿宋" w:cs="仿宋"/>
          <w:sz w:val="28"/>
          <w:szCs w:val="28"/>
          <w:lang w:bidi="ar"/>
        </w:rPr>
        <w:t>（五）</w:t>
      </w:r>
      <w:r>
        <w:rPr>
          <w:rFonts w:hint="eastAsia" w:ascii="仿宋" w:hAnsi="仿宋" w:eastAsia="仿宋" w:cs="仿宋"/>
          <w:color w:val="FF0000"/>
          <w:sz w:val="28"/>
          <w:szCs w:val="28"/>
          <w:lang w:bidi="ar"/>
        </w:rPr>
        <w:t>交货时设备需安装调试。在设备安装结束投入试运行五个工作日，正常稳定后由供应商和采购人组成验收小组共同验收签字。</w:t>
      </w:r>
    </w:p>
    <w:p>
      <w:pPr>
        <w:spacing w:line="360" w:lineRule="auto"/>
        <w:ind w:firstLine="565" w:firstLineChars="202"/>
        <w:rPr>
          <w:rFonts w:ascii="仿宋" w:hAnsi="仿宋" w:eastAsia="仿宋" w:cs="仿宋"/>
          <w:sz w:val="28"/>
          <w:szCs w:val="28"/>
          <w:lang w:bidi="ar"/>
        </w:rPr>
      </w:pPr>
      <w:r>
        <w:rPr>
          <w:rFonts w:hint="eastAsia" w:ascii="仿宋" w:hAnsi="仿宋" w:eastAsia="仿宋" w:cs="仿宋"/>
          <w:sz w:val="28"/>
          <w:szCs w:val="28"/>
          <w:lang w:bidi="ar"/>
        </w:rPr>
        <w:t>（六）付款方式：分期付款。</w:t>
      </w:r>
    </w:p>
    <w:p>
      <w:pPr>
        <w:spacing w:line="360" w:lineRule="auto"/>
        <w:ind w:firstLine="565" w:firstLineChars="202"/>
        <w:rPr>
          <w:rFonts w:ascii="仿宋" w:hAnsi="仿宋" w:eastAsia="仿宋" w:cs="仿宋"/>
          <w:sz w:val="28"/>
          <w:szCs w:val="28"/>
          <w:lang w:bidi="ar"/>
        </w:rPr>
      </w:pPr>
      <w:r>
        <w:rPr>
          <w:rFonts w:hint="eastAsia" w:ascii="仿宋" w:hAnsi="仿宋" w:eastAsia="仿宋" w:cs="仿宋"/>
          <w:color w:val="FF0000"/>
          <w:sz w:val="28"/>
          <w:szCs w:val="28"/>
          <w:lang w:bidi="ar"/>
        </w:rPr>
        <w:t>1</w:t>
      </w:r>
      <w:r>
        <w:rPr>
          <w:rFonts w:ascii="仿宋" w:hAnsi="仿宋" w:eastAsia="仿宋" w:cs="仿宋"/>
          <w:color w:val="FF0000"/>
          <w:sz w:val="28"/>
          <w:szCs w:val="28"/>
          <w:lang w:bidi="ar"/>
        </w:rPr>
        <w:t>.</w:t>
      </w:r>
      <w:r>
        <w:rPr>
          <w:rFonts w:hint="eastAsia" w:ascii="仿宋" w:hAnsi="仿宋" w:eastAsia="仿宋" w:cs="仿宋"/>
          <w:color w:val="FF0000"/>
          <w:sz w:val="28"/>
          <w:szCs w:val="28"/>
          <w:lang w:bidi="ar"/>
        </w:rPr>
        <w:t>合同签订生效后5个工作日内，供应商将专用发票开具送达采购人，在收到发票后5个工作日内，采购人</w:t>
      </w:r>
      <w:r>
        <w:rPr>
          <w:rFonts w:hint="eastAsia" w:ascii="仿宋" w:hAnsi="仿宋" w:eastAsia="仿宋" w:cs="仿宋"/>
          <w:sz w:val="28"/>
          <w:szCs w:val="28"/>
          <w:lang w:bidi="ar"/>
        </w:rPr>
        <w:t>将合同总金额的50%支付给供应商。</w:t>
      </w:r>
    </w:p>
    <w:p>
      <w:pPr>
        <w:spacing w:line="360" w:lineRule="auto"/>
        <w:ind w:firstLine="565" w:firstLineChars="202"/>
        <w:rPr>
          <w:rFonts w:ascii="仿宋" w:hAnsi="仿宋" w:eastAsia="仿宋" w:cs="仿宋"/>
          <w:sz w:val="28"/>
          <w:szCs w:val="28"/>
          <w:lang w:bidi="ar"/>
        </w:rPr>
      </w:pPr>
      <w:r>
        <w:rPr>
          <w:rFonts w:hint="eastAsia" w:ascii="仿宋" w:hAnsi="仿宋" w:eastAsia="仿宋" w:cs="仿宋"/>
          <w:sz w:val="28"/>
          <w:szCs w:val="28"/>
          <w:lang w:bidi="ar"/>
        </w:rPr>
        <w:t>2</w:t>
      </w:r>
      <w:r>
        <w:rPr>
          <w:rFonts w:ascii="仿宋" w:hAnsi="仿宋" w:eastAsia="仿宋" w:cs="仿宋"/>
          <w:sz w:val="28"/>
          <w:szCs w:val="28"/>
          <w:lang w:bidi="ar"/>
        </w:rPr>
        <w:t>.</w:t>
      </w:r>
      <w:r>
        <w:rPr>
          <w:rFonts w:hint="eastAsia" w:ascii="仿宋" w:hAnsi="仿宋" w:eastAsia="仿宋" w:cs="仿宋"/>
          <w:sz w:val="28"/>
          <w:szCs w:val="28"/>
          <w:lang w:bidi="ar"/>
        </w:rPr>
        <w:t>设备运到指定地点，安装调试完毕并验收合格后，10个工作日内将合同总金额的45%支付给供应商。</w:t>
      </w:r>
    </w:p>
    <w:p>
      <w:pPr>
        <w:spacing w:line="360" w:lineRule="auto"/>
        <w:ind w:firstLine="565" w:firstLineChars="202"/>
        <w:rPr>
          <w:rFonts w:ascii="仿宋" w:hAnsi="仿宋" w:eastAsia="仿宋" w:cs="仿宋"/>
          <w:sz w:val="28"/>
          <w:szCs w:val="28"/>
          <w:lang w:bidi="ar"/>
        </w:rPr>
      </w:pPr>
      <w:r>
        <w:rPr>
          <w:rFonts w:hint="eastAsia" w:ascii="仿宋" w:hAnsi="仿宋" w:eastAsia="仿宋" w:cs="仿宋"/>
          <w:sz w:val="28"/>
          <w:szCs w:val="28"/>
          <w:lang w:bidi="ar"/>
        </w:rPr>
        <w:t>3</w:t>
      </w:r>
      <w:r>
        <w:rPr>
          <w:rFonts w:ascii="仿宋" w:hAnsi="仿宋" w:eastAsia="仿宋" w:cs="仿宋"/>
          <w:sz w:val="28"/>
          <w:szCs w:val="28"/>
          <w:lang w:bidi="ar"/>
        </w:rPr>
        <w:t>.</w:t>
      </w:r>
      <w:r>
        <w:rPr>
          <w:rFonts w:hint="eastAsia" w:ascii="仿宋" w:hAnsi="仿宋" w:eastAsia="仿宋" w:cs="仿宋"/>
          <w:sz w:val="28"/>
          <w:szCs w:val="28"/>
          <w:lang w:bidi="ar"/>
        </w:rPr>
        <w:t>设备验收合格且正常运行一年后，10个工作日内，经复检合格后将余下款项（合同总金额的5%）支付给供应商。</w:t>
      </w:r>
    </w:p>
    <w:p>
      <w:pPr>
        <w:spacing w:line="360" w:lineRule="auto"/>
        <w:ind w:firstLine="565" w:firstLineChars="202"/>
        <w:rPr>
          <w:rFonts w:ascii="仿宋" w:hAnsi="仿宋" w:eastAsia="仿宋" w:cs="仿宋"/>
          <w:sz w:val="28"/>
          <w:szCs w:val="28"/>
          <w:lang w:bidi="ar"/>
        </w:rPr>
      </w:pPr>
      <w:r>
        <w:rPr>
          <w:rFonts w:hint="eastAsia" w:ascii="仿宋" w:hAnsi="仿宋" w:eastAsia="仿宋" w:cs="仿宋"/>
          <w:sz w:val="28"/>
          <w:szCs w:val="28"/>
          <w:lang w:bidi="ar"/>
        </w:rPr>
        <w:t>注：中标供应商需提供合法有效的增值税专用发票。</w:t>
      </w:r>
    </w:p>
    <w:p>
      <w:pPr>
        <w:spacing w:line="360" w:lineRule="auto"/>
        <w:ind w:firstLine="565" w:firstLineChars="202"/>
        <w:rPr>
          <w:rFonts w:ascii="仿宋" w:hAnsi="仿宋" w:eastAsia="仿宋" w:cs="仿宋"/>
          <w:sz w:val="28"/>
          <w:szCs w:val="28"/>
          <w:lang w:bidi="ar"/>
        </w:rPr>
      </w:pPr>
      <w:r>
        <w:rPr>
          <w:rFonts w:hint="eastAsia" w:ascii="仿宋" w:hAnsi="仿宋" w:eastAsia="仿宋" w:cs="仿宋"/>
          <w:sz w:val="28"/>
          <w:szCs w:val="28"/>
          <w:lang w:bidi="ar"/>
        </w:rPr>
        <w:t>（七）质保期限：一年。</w:t>
      </w:r>
    </w:p>
    <w:p>
      <w:pPr>
        <w:spacing w:line="360" w:lineRule="auto"/>
        <w:ind w:firstLine="565" w:firstLineChars="202"/>
        <w:rPr>
          <w:rFonts w:ascii="仿宋" w:hAnsi="仿宋" w:eastAsia="仿宋" w:cs="仿宋"/>
          <w:sz w:val="28"/>
          <w:szCs w:val="28"/>
          <w:lang w:bidi="ar"/>
        </w:rPr>
      </w:pPr>
      <w:r>
        <w:rPr>
          <w:rFonts w:hint="eastAsia" w:ascii="仿宋" w:hAnsi="仿宋" w:eastAsia="仿宋" w:cs="仿宋"/>
          <w:sz w:val="28"/>
          <w:szCs w:val="28"/>
          <w:lang w:bidi="ar"/>
        </w:rPr>
        <w:t>（八）成交供应商需为采购人的技术人员提供实地设备操作、维护培训等服务。</w:t>
      </w:r>
    </w:p>
    <w:p>
      <w:pPr>
        <w:spacing w:line="360" w:lineRule="auto"/>
        <w:ind w:firstLine="565" w:firstLineChars="202"/>
        <w:rPr>
          <w:rFonts w:ascii="仿宋" w:hAnsi="仿宋" w:eastAsia="仿宋" w:cs="仿宋"/>
          <w:sz w:val="28"/>
          <w:szCs w:val="28"/>
          <w:lang w:bidi="ar"/>
        </w:rPr>
      </w:pPr>
      <w:r>
        <w:rPr>
          <w:rFonts w:hint="eastAsia" w:ascii="仿宋" w:hAnsi="仿宋" w:eastAsia="仿宋" w:cs="仿宋"/>
          <w:sz w:val="28"/>
          <w:szCs w:val="28"/>
          <w:lang w:bidi="ar"/>
        </w:rPr>
        <w:t>（九）操作说明书等全部技术资料在交货验收合格后移交采购人。</w:t>
      </w:r>
    </w:p>
    <w:p>
      <w:pPr>
        <w:spacing w:line="360" w:lineRule="auto"/>
        <w:ind w:firstLine="565" w:firstLineChars="202"/>
        <w:rPr>
          <w:rFonts w:ascii="仿宋" w:hAnsi="仿宋" w:eastAsia="仿宋" w:cs="仿宋"/>
          <w:b/>
          <w:bCs/>
          <w:sz w:val="28"/>
          <w:szCs w:val="28"/>
          <w:lang w:bidi="ar"/>
        </w:rPr>
      </w:pPr>
      <w:r>
        <w:rPr>
          <w:rFonts w:hint="eastAsia" w:ascii="仿宋" w:hAnsi="仿宋" w:eastAsia="仿宋" w:cs="仿宋"/>
          <w:sz w:val="28"/>
          <w:szCs w:val="28"/>
          <w:lang w:bidi="ar"/>
        </w:rPr>
        <w:t>（十）质量/验收要求：成交供应商提供的货物必须是</w:t>
      </w:r>
      <w:r>
        <w:rPr>
          <w:rFonts w:hint="eastAsia" w:ascii="仿宋" w:hAnsi="仿宋" w:eastAsia="仿宋" w:cs="仿宋"/>
          <w:b/>
          <w:bCs/>
          <w:sz w:val="28"/>
          <w:szCs w:val="28"/>
          <w:lang w:bidi="ar"/>
        </w:rPr>
        <w:t>全新、合格产品</w:t>
      </w:r>
      <w:r>
        <w:rPr>
          <w:rFonts w:hint="eastAsia" w:ascii="仿宋" w:hAnsi="仿宋" w:eastAsia="仿宋" w:cs="仿宋"/>
          <w:sz w:val="28"/>
          <w:szCs w:val="28"/>
          <w:lang w:bidi="ar"/>
        </w:rPr>
        <w:t>，</w:t>
      </w:r>
      <w:r>
        <w:rPr>
          <w:rFonts w:hint="eastAsia" w:ascii="仿宋" w:hAnsi="仿宋" w:eastAsia="仿宋" w:cs="仿宋"/>
          <w:b/>
          <w:bCs/>
          <w:sz w:val="28"/>
          <w:szCs w:val="28"/>
          <w:lang w:bidi="ar"/>
        </w:rPr>
        <w:t>完全符合国家规定的质量标准或行业的标准。</w:t>
      </w:r>
    </w:p>
    <w:p>
      <w:pPr>
        <w:spacing w:line="360" w:lineRule="auto"/>
        <w:ind w:firstLine="565" w:firstLineChars="202"/>
        <w:rPr>
          <w:rFonts w:ascii="仿宋" w:hAnsi="仿宋" w:eastAsia="仿宋" w:cs="仿宋"/>
          <w:sz w:val="28"/>
          <w:szCs w:val="28"/>
          <w:lang w:bidi="ar"/>
        </w:rPr>
      </w:pPr>
      <w:r>
        <w:rPr>
          <w:rFonts w:hint="eastAsia" w:ascii="仿宋" w:hAnsi="仿宋" w:eastAsia="仿宋" w:cs="仿宋"/>
          <w:sz w:val="28"/>
          <w:szCs w:val="28"/>
          <w:lang w:bidi="ar"/>
        </w:rPr>
        <w:t>二、技术要求</w:t>
      </w:r>
    </w:p>
    <w:p>
      <w:pPr>
        <w:pStyle w:val="3"/>
        <w:spacing w:line="360" w:lineRule="auto"/>
        <w:ind w:firstLine="562" w:firstLineChars="200"/>
        <w:contextualSpacing/>
        <w:rPr>
          <w:rFonts w:ascii="仿宋" w:hAnsi="仿宋" w:eastAsia="仿宋"/>
          <w:bCs/>
          <w:sz w:val="28"/>
          <w:szCs w:val="28"/>
        </w:rPr>
      </w:pPr>
      <w:r>
        <w:rPr>
          <w:rFonts w:hint="eastAsia" w:ascii="仿宋" w:hAnsi="仿宋" w:eastAsia="仿宋"/>
          <w:bCs/>
          <w:sz w:val="28"/>
          <w:szCs w:val="28"/>
        </w:rPr>
        <w:t>（一）系统整体要求</w:t>
      </w:r>
    </w:p>
    <w:p>
      <w:pPr>
        <w:spacing w:line="360" w:lineRule="auto"/>
        <w:ind w:firstLine="663" w:firstLineChars="236"/>
        <w:contextualSpacing/>
        <w:rPr>
          <w:rFonts w:ascii="仿宋" w:hAnsi="仿宋" w:eastAsia="仿宋" w:cs="楷体"/>
          <w:b/>
          <w:bCs/>
          <w:sz w:val="28"/>
          <w:szCs w:val="28"/>
          <w:u w:val="single"/>
        </w:rPr>
      </w:pPr>
      <w:r>
        <w:rPr>
          <w:rFonts w:hint="eastAsia" w:ascii="仿宋" w:hAnsi="仿宋" w:eastAsia="仿宋" w:cs="楷体"/>
          <w:b/>
          <w:bCs/>
          <w:sz w:val="28"/>
          <w:szCs w:val="28"/>
          <w:u w:val="single"/>
        </w:rPr>
        <w:t>★1、增加的后台和车载训练系统，必须充分保证和现有的考试系统在训练规则和语音播报上保证一致（提供承诺函）。</w:t>
      </w:r>
    </w:p>
    <w:p>
      <w:pPr>
        <w:spacing w:line="360" w:lineRule="auto"/>
        <w:ind w:firstLine="843" w:firstLineChars="300"/>
        <w:rPr>
          <w:rFonts w:ascii="仿宋" w:hAnsi="仿宋" w:eastAsia="仿宋" w:cs="楷体"/>
          <w:b/>
          <w:bCs/>
          <w:sz w:val="28"/>
          <w:szCs w:val="28"/>
          <w:u w:val="single"/>
        </w:rPr>
      </w:pPr>
      <w:r>
        <w:rPr>
          <w:rFonts w:hint="eastAsia" w:ascii="仿宋" w:hAnsi="仿宋" w:eastAsia="仿宋" w:cs="楷体"/>
          <w:b/>
          <w:bCs/>
          <w:sz w:val="28"/>
          <w:szCs w:val="28"/>
          <w:u w:val="single"/>
        </w:rPr>
        <w:t>2、主要技术指标如下：</w:t>
      </w:r>
    </w:p>
    <w:tbl>
      <w:tblPr>
        <w:tblStyle w:val="14"/>
        <w:tblW w:w="8505" w:type="dxa"/>
        <w:tblInd w:w="5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3"/>
        <w:gridCol w:w="1353"/>
        <w:gridCol w:w="53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43" w:type="dxa"/>
            <w:vMerge w:val="restart"/>
            <w:vAlign w:val="center"/>
          </w:tcPr>
          <w:p>
            <w:pPr>
              <w:rPr>
                <w:sz w:val="24"/>
                <w:szCs w:val="24"/>
              </w:rPr>
            </w:pPr>
            <w:r>
              <w:rPr>
                <w:rFonts w:hint="eastAsia"/>
                <w:sz w:val="24"/>
                <w:szCs w:val="24"/>
              </w:rPr>
              <w:t>车载终端指标</w:t>
            </w:r>
          </w:p>
        </w:tc>
        <w:tc>
          <w:tcPr>
            <w:tcW w:w="1353" w:type="dxa"/>
            <w:vAlign w:val="center"/>
          </w:tcPr>
          <w:p>
            <w:pPr>
              <w:jc w:val="center"/>
              <w:rPr>
                <w:sz w:val="24"/>
                <w:szCs w:val="24"/>
              </w:rPr>
            </w:pPr>
            <w:r>
              <w:rPr>
                <w:rFonts w:hint="eastAsia"/>
                <w:sz w:val="24"/>
                <w:szCs w:val="24"/>
              </w:rPr>
              <w:t>软件架构</w:t>
            </w:r>
          </w:p>
        </w:tc>
        <w:tc>
          <w:tcPr>
            <w:tcW w:w="5309" w:type="dxa"/>
          </w:tcPr>
          <w:p>
            <w:pPr>
              <w:rPr>
                <w:sz w:val="24"/>
                <w:szCs w:val="24"/>
              </w:rPr>
            </w:pPr>
            <w:r>
              <w:rPr>
                <w:rFonts w:hint="eastAsia"/>
                <w:sz w:val="24"/>
                <w:szCs w:val="24"/>
              </w:rPr>
              <w:t>车载软件采用桌面应用程序架构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Merge w:val="continue"/>
          </w:tcPr>
          <w:p>
            <w:pPr>
              <w:rPr>
                <w:sz w:val="24"/>
                <w:szCs w:val="24"/>
              </w:rPr>
            </w:pPr>
          </w:p>
        </w:tc>
        <w:tc>
          <w:tcPr>
            <w:tcW w:w="1353" w:type="dxa"/>
            <w:vAlign w:val="center"/>
          </w:tcPr>
          <w:p>
            <w:pPr>
              <w:jc w:val="center"/>
              <w:rPr>
                <w:sz w:val="24"/>
                <w:szCs w:val="24"/>
              </w:rPr>
            </w:pPr>
            <w:r>
              <w:rPr>
                <w:rFonts w:hint="eastAsia"/>
                <w:sz w:val="24"/>
                <w:szCs w:val="24"/>
              </w:rPr>
              <w:t>性能指标</w:t>
            </w:r>
          </w:p>
        </w:tc>
        <w:tc>
          <w:tcPr>
            <w:tcW w:w="5309" w:type="dxa"/>
          </w:tcPr>
          <w:p>
            <w:pPr>
              <w:rPr>
                <w:sz w:val="24"/>
                <w:szCs w:val="24"/>
              </w:rPr>
            </w:pPr>
            <w:r>
              <w:rPr>
                <w:rFonts w:hint="eastAsia"/>
                <w:sz w:val="24"/>
                <w:szCs w:val="24"/>
              </w:rPr>
              <w:t>运动状态推算&lt;2秒；</w:t>
            </w:r>
          </w:p>
          <w:p>
            <w:pPr>
              <w:rPr>
                <w:sz w:val="24"/>
                <w:szCs w:val="24"/>
              </w:rPr>
            </w:pPr>
            <w:r>
              <w:rPr>
                <w:rFonts w:hint="eastAsia"/>
                <w:sz w:val="24"/>
                <w:szCs w:val="24"/>
              </w:rPr>
              <w:t>定位精度&lt;2厘米；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Merge w:val="continue"/>
          </w:tcPr>
          <w:p>
            <w:pPr>
              <w:rPr>
                <w:sz w:val="24"/>
                <w:szCs w:val="24"/>
              </w:rPr>
            </w:pPr>
          </w:p>
        </w:tc>
        <w:tc>
          <w:tcPr>
            <w:tcW w:w="1353" w:type="dxa"/>
            <w:vAlign w:val="center"/>
          </w:tcPr>
          <w:p>
            <w:pPr>
              <w:jc w:val="center"/>
              <w:rPr>
                <w:sz w:val="24"/>
                <w:szCs w:val="24"/>
              </w:rPr>
            </w:pPr>
            <w:r>
              <w:rPr>
                <w:rFonts w:hint="eastAsia"/>
                <w:sz w:val="24"/>
                <w:szCs w:val="24"/>
              </w:rPr>
              <w:t>扩展功能</w:t>
            </w:r>
          </w:p>
        </w:tc>
        <w:tc>
          <w:tcPr>
            <w:tcW w:w="5309" w:type="dxa"/>
          </w:tcPr>
          <w:p>
            <w:pPr>
              <w:rPr>
                <w:sz w:val="24"/>
                <w:szCs w:val="24"/>
              </w:rPr>
            </w:pPr>
            <w:r>
              <w:rPr>
                <w:rFonts w:hint="eastAsia"/>
                <w:sz w:val="24"/>
                <w:szCs w:val="24"/>
              </w:rPr>
              <w:t>支持断点断网续考功能；</w:t>
            </w:r>
          </w:p>
          <w:p>
            <w:pPr>
              <w:rPr>
                <w:sz w:val="24"/>
                <w:szCs w:val="24"/>
              </w:rPr>
            </w:pPr>
            <w:r>
              <w:rPr>
                <w:rFonts w:hint="eastAsia"/>
                <w:sz w:val="24"/>
                <w:szCs w:val="24"/>
              </w:rPr>
              <w:t>考试关键信息从监考中心下载；</w:t>
            </w:r>
          </w:p>
          <w:p>
            <w:pPr>
              <w:rPr>
                <w:sz w:val="24"/>
                <w:szCs w:val="24"/>
              </w:rPr>
            </w:pPr>
            <w:r>
              <w:rPr>
                <w:rFonts w:hint="eastAsia"/>
                <w:sz w:val="24"/>
                <w:szCs w:val="24"/>
              </w:rPr>
              <w:t>车载软件版本自动更新升级；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Merge w:val="continue"/>
          </w:tcPr>
          <w:p>
            <w:pPr>
              <w:rPr>
                <w:sz w:val="24"/>
                <w:szCs w:val="24"/>
              </w:rPr>
            </w:pPr>
          </w:p>
        </w:tc>
        <w:tc>
          <w:tcPr>
            <w:tcW w:w="1353" w:type="dxa"/>
            <w:vAlign w:val="center"/>
          </w:tcPr>
          <w:p>
            <w:pPr>
              <w:jc w:val="center"/>
              <w:rPr>
                <w:sz w:val="24"/>
                <w:szCs w:val="24"/>
              </w:rPr>
            </w:pPr>
            <w:r>
              <w:rPr>
                <w:rFonts w:hint="eastAsia"/>
                <w:sz w:val="24"/>
                <w:szCs w:val="24"/>
              </w:rPr>
              <w:t>通信方式</w:t>
            </w:r>
          </w:p>
        </w:tc>
        <w:tc>
          <w:tcPr>
            <w:tcW w:w="5309" w:type="dxa"/>
          </w:tcPr>
          <w:p>
            <w:pPr>
              <w:rPr>
                <w:sz w:val="24"/>
                <w:szCs w:val="24"/>
              </w:rPr>
            </w:pPr>
            <w:r>
              <w:rPr>
                <w:rFonts w:hint="eastAsia"/>
                <w:sz w:val="24"/>
                <w:szCs w:val="24"/>
              </w:rPr>
              <w:t>COM、UDP、HttpServer、HttpClient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Merge w:val="continue"/>
          </w:tcPr>
          <w:p>
            <w:pPr>
              <w:rPr>
                <w:sz w:val="24"/>
                <w:szCs w:val="24"/>
              </w:rPr>
            </w:pPr>
          </w:p>
        </w:tc>
        <w:tc>
          <w:tcPr>
            <w:tcW w:w="1353" w:type="dxa"/>
            <w:vAlign w:val="center"/>
          </w:tcPr>
          <w:p>
            <w:pPr>
              <w:jc w:val="center"/>
              <w:rPr>
                <w:sz w:val="24"/>
                <w:szCs w:val="24"/>
              </w:rPr>
            </w:pPr>
            <w:r>
              <w:rPr>
                <w:rFonts w:hint="eastAsia"/>
                <w:sz w:val="24"/>
                <w:szCs w:val="24"/>
              </w:rPr>
              <w:t>运行环境</w:t>
            </w:r>
          </w:p>
        </w:tc>
        <w:tc>
          <w:tcPr>
            <w:tcW w:w="5309" w:type="dxa"/>
          </w:tcPr>
          <w:p>
            <w:pPr>
              <w:rPr>
                <w:sz w:val="24"/>
                <w:szCs w:val="24"/>
              </w:rPr>
            </w:pPr>
            <w:r>
              <w:rPr>
                <w:rFonts w:hint="eastAsia"/>
                <w:sz w:val="24"/>
                <w:szCs w:val="24"/>
              </w:rPr>
              <w:t>winowds xp及以上版本，32位或64位操作系统；内存1GB及以上；1.60GHz及以上处理器；.NET Framework4.0及以上。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Merge w:val="restart"/>
            <w:vAlign w:val="center"/>
          </w:tcPr>
          <w:p>
            <w:pPr>
              <w:jc w:val="center"/>
              <w:rPr>
                <w:sz w:val="24"/>
                <w:szCs w:val="24"/>
              </w:rPr>
            </w:pPr>
            <w:r>
              <w:rPr>
                <w:rFonts w:hint="eastAsia"/>
                <w:sz w:val="24"/>
                <w:szCs w:val="24"/>
              </w:rPr>
              <w:t>通信中间件</w:t>
            </w:r>
          </w:p>
        </w:tc>
        <w:tc>
          <w:tcPr>
            <w:tcW w:w="1353" w:type="dxa"/>
            <w:vAlign w:val="center"/>
          </w:tcPr>
          <w:p>
            <w:pPr>
              <w:jc w:val="center"/>
              <w:rPr>
                <w:sz w:val="24"/>
                <w:szCs w:val="24"/>
              </w:rPr>
            </w:pPr>
            <w:r>
              <w:rPr>
                <w:rFonts w:hint="eastAsia"/>
                <w:sz w:val="24"/>
                <w:szCs w:val="24"/>
              </w:rPr>
              <w:t>软件功能</w:t>
            </w:r>
          </w:p>
        </w:tc>
        <w:tc>
          <w:tcPr>
            <w:tcW w:w="5309" w:type="dxa"/>
          </w:tcPr>
          <w:p>
            <w:pPr>
              <w:rPr>
                <w:sz w:val="24"/>
                <w:szCs w:val="24"/>
              </w:rPr>
            </w:pPr>
            <w:r>
              <w:rPr>
                <w:rFonts w:hint="eastAsia"/>
                <w:sz w:val="24"/>
                <w:szCs w:val="24"/>
              </w:rPr>
              <w:t>系统通信中间件，实现数据中转和数据逻辑处理。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Merge w:val="continue"/>
            <w:vAlign w:val="center"/>
          </w:tcPr>
          <w:p>
            <w:pPr>
              <w:rPr>
                <w:sz w:val="24"/>
                <w:szCs w:val="24"/>
              </w:rPr>
            </w:pPr>
          </w:p>
        </w:tc>
        <w:tc>
          <w:tcPr>
            <w:tcW w:w="1353" w:type="dxa"/>
            <w:vAlign w:val="center"/>
          </w:tcPr>
          <w:p>
            <w:pPr>
              <w:jc w:val="center"/>
              <w:rPr>
                <w:sz w:val="24"/>
                <w:szCs w:val="24"/>
              </w:rPr>
            </w:pPr>
            <w:r>
              <w:rPr>
                <w:rFonts w:hint="eastAsia"/>
                <w:sz w:val="24"/>
                <w:szCs w:val="24"/>
              </w:rPr>
              <w:t>性能指标</w:t>
            </w:r>
          </w:p>
        </w:tc>
        <w:tc>
          <w:tcPr>
            <w:tcW w:w="5309" w:type="dxa"/>
          </w:tcPr>
          <w:p>
            <w:pPr>
              <w:rPr>
                <w:sz w:val="24"/>
                <w:szCs w:val="24"/>
              </w:rPr>
            </w:pPr>
            <w:r>
              <w:rPr>
                <w:rFonts w:hint="eastAsia"/>
                <w:sz w:val="24"/>
                <w:szCs w:val="24"/>
              </w:rPr>
              <w:t>最大并发量&gt;300；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Merge w:val="continue"/>
            <w:vAlign w:val="center"/>
          </w:tcPr>
          <w:p>
            <w:pPr>
              <w:rPr>
                <w:sz w:val="24"/>
                <w:szCs w:val="24"/>
              </w:rPr>
            </w:pPr>
          </w:p>
        </w:tc>
        <w:tc>
          <w:tcPr>
            <w:tcW w:w="1353" w:type="dxa"/>
            <w:vAlign w:val="center"/>
          </w:tcPr>
          <w:p>
            <w:pPr>
              <w:jc w:val="center"/>
              <w:rPr>
                <w:sz w:val="24"/>
                <w:szCs w:val="24"/>
              </w:rPr>
            </w:pPr>
            <w:r>
              <w:rPr>
                <w:rFonts w:hint="eastAsia"/>
                <w:sz w:val="24"/>
                <w:szCs w:val="24"/>
              </w:rPr>
              <w:t>通信方式</w:t>
            </w:r>
          </w:p>
        </w:tc>
        <w:tc>
          <w:tcPr>
            <w:tcW w:w="5309" w:type="dxa"/>
          </w:tcPr>
          <w:p>
            <w:pPr>
              <w:rPr>
                <w:sz w:val="24"/>
                <w:szCs w:val="24"/>
              </w:rPr>
            </w:pPr>
            <w:r>
              <w:rPr>
                <w:rFonts w:hint="eastAsia"/>
                <w:sz w:val="24"/>
                <w:szCs w:val="24"/>
              </w:rPr>
              <w:t>UDP、TCP、HttpServer、HttpClient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Merge w:val="continue"/>
          </w:tcPr>
          <w:p>
            <w:pPr>
              <w:rPr>
                <w:sz w:val="24"/>
                <w:szCs w:val="24"/>
              </w:rPr>
            </w:pPr>
          </w:p>
        </w:tc>
        <w:tc>
          <w:tcPr>
            <w:tcW w:w="1353" w:type="dxa"/>
            <w:vAlign w:val="center"/>
          </w:tcPr>
          <w:p>
            <w:pPr>
              <w:jc w:val="center"/>
              <w:rPr>
                <w:sz w:val="24"/>
                <w:szCs w:val="24"/>
              </w:rPr>
            </w:pPr>
            <w:r>
              <w:rPr>
                <w:rFonts w:hint="eastAsia"/>
                <w:sz w:val="24"/>
                <w:szCs w:val="24"/>
              </w:rPr>
              <w:t>运行环境</w:t>
            </w:r>
          </w:p>
        </w:tc>
        <w:tc>
          <w:tcPr>
            <w:tcW w:w="5309" w:type="dxa"/>
          </w:tcPr>
          <w:p>
            <w:pPr>
              <w:rPr>
                <w:sz w:val="24"/>
                <w:szCs w:val="24"/>
              </w:rPr>
            </w:pPr>
            <w:r>
              <w:rPr>
                <w:rFonts w:hint="eastAsia"/>
                <w:sz w:val="24"/>
                <w:szCs w:val="24"/>
              </w:rPr>
              <w:t>64位操作系统；内存8GB及以上；i5 2.00GHz及以上处理器；jdk1.6及以上运行环境；tomcat6.x及以上版本；浏览器谷歌火狐IE11及以上版本。</w:t>
            </w:r>
          </w:p>
        </w:tc>
      </w:tr>
    </w:tbl>
    <w:p>
      <w:pPr>
        <w:spacing w:line="360" w:lineRule="auto"/>
        <w:ind w:firstLine="663" w:firstLineChars="236"/>
        <w:contextualSpacing/>
        <w:rPr>
          <w:rFonts w:ascii="仿宋" w:hAnsi="仿宋" w:eastAsia="仿宋" w:cs="楷体"/>
          <w:b/>
          <w:bCs/>
          <w:sz w:val="28"/>
          <w:szCs w:val="28"/>
          <w:u w:val="single"/>
        </w:rPr>
      </w:pPr>
    </w:p>
    <w:p>
      <w:pPr>
        <w:spacing w:line="360" w:lineRule="auto"/>
        <w:ind w:firstLine="663" w:firstLineChars="236"/>
        <w:contextualSpacing/>
        <w:rPr>
          <w:rFonts w:ascii="仿宋" w:hAnsi="仿宋" w:eastAsia="仿宋" w:cs="楷体"/>
          <w:b/>
          <w:bCs/>
          <w:sz w:val="28"/>
          <w:szCs w:val="28"/>
          <w:u w:val="single"/>
        </w:rPr>
      </w:pPr>
      <w:r>
        <w:rPr>
          <w:rFonts w:hint="eastAsia" w:ascii="仿宋" w:hAnsi="仿宋" w:eastAsia="仿宋" w:cs="楷体"/>
          <w:b/>
          <w:bCs/>
          <w:sz w:val="28"/>
          <w:szCs w:val="28"/>
          <w:u w:val="single"/>
        </w:rPr>
        <w:t>（二）、</w:t>
      </w:r>
      <w:r>
        <w:rPr>
          <w:rFonts w:hint="eastAsia" w:ascii="仿宋" w:hAnsi="仿宋" w:eastAsia="仿宋" w:cs="楷体"/>
          <w:b/>
          <w:bCs/>
          <w:sz w:val="28"/>
          <w:szCs w:val="28"/>
          <w:u w:val="single"/>
        </w:rPr>
        <w:tab/>
      </w:r>
      <w:r>
        <w:rPr>
          <w:rFonts w:hint="eastAsia" w:ascii="仿宋" w:hAnsi="仿宋" w:eastAsia="仿宋" w:cs="楷体"/>
          <w:b/>
          <w:bCs/>
          <w:sz w:val="28"/>
          <w:szCs w:val="28"/>
          <w:u w:val="single"/>
        </w:rPr>
        <w:t>安装训练车车载设备，要求如下：</w:t>
      </w:r>
    </w:p>
    <w:p>
      <w:pPr>
        <w:spacing w:line="360" w:lineRule="auto"/>
        <w:ind w:firstLine="663" w:firstLineChars="236"/>
        <w:contextualSpacing/>
        <w:rPr>
          <w:rFonts w:ascii="仿宋" w:hAnsi="仿宋" w:eastAsia="仿宋" w:cs="楷体"/>
          <w:b/>
          <w:bCs/>
          <w:sz w:val="28"/>
          <w:szCs w:val="28"/>
          <w:u w:val="single"/>
        </w:rPr>
      </w:pPr>
      <w:r>
        <w:rPr>
          <w:rFonts w:hint="eastAsia" w:ascii="仿宋" w:hAnsi="仿宋" w:eastAsia="仿宋" w:cs="楷体"/>
          <w:b/>
          <w:bCs/>
          <w:sz w:val="28"/>
          <w:szCs w:val="28"/>
          <w:u w:val="single"/>
        </w:rPr>
        <w:t>1.拆除车辆上影响车载设备安装的组件。</w:t>
      </w:r>
    </w:p>
    <w:p>
      <w:pPr>
        <w:spacing w:line="360" w:lineRule="auto"/>
        <w:ind w:firstLine="663" w:firstLineChars="236"/>
        <w:contextualSpacing/>
        <w:rPr>
          <w:rFonts w:ascii="仿宋" w:hAnsi="仿宋" w:eastAsia="仿宋" w:cs="楷体"/>
          <w:b/>
          <w:bCs/>
          <w:sz w:val="28"/>
          <w:szCs w:val="28"/>
          <w:u w:val="single"/>
        </w:rPr>
      </w:pPr>
      <w:r>
        <w:rPr>
          <w:rFonts w:hint="eastAsia" w:ascii="仿宋" w:hAnsi="仿宋" w:eastAsia="仿宋" w:cs="楷体"/>
          <w:b/>
          <w:bCs/>
          <w:sz w:val="28"/>
          <w:szCs w:val="28"/>
          <w:u w:val="single"/>
        </w:rPr>
        <w:t>2.根据安装要求敷设设备线路和传感器。</w:t>
      </w:r>
    </w:p>
    <w:p>
      <w:pPr>
        <w:spacing w:line="360" w:lineRule="auto"/>
        <w:ind w:firstLine="663" w:firstLineChars="236"/>
        <w:contextualSpacing/>
        <w:rPr>
          <w:rFonts w:ascii="仿宋" w:hAnsi="仿宋" w:eastAsia="仿宋" w:cs="楷体"/>
          <w:b/>
          <w:bCs/>
          <w:sz w:val="28"/>
          <w:szCs w:val="28"/>
          <w:u w:val="single"/>
        </w:rPr>
      </w:pPr>
      <w:r>
        <w:rPr>
          <w:rFonts w:hint="eastAsia" w:ascii="仿宋" w:hAnsi="仿宋" w:eastAsia="仿宋" w:cs="楷体"/>
          <w:b/>
          <w:bCs/>
          <w:sz w:val="28"/>
          <w:szCs w:val="28"/>
          <w:u w:val="single"/>
        </w:rPr>
        <w:t>3.根据安装要求安装车载考试设备和相关软件。</w:t>
      </w:r>
    </w:p>
    <w:p>
      <w:pPr>
        <w:spacing w:line="360" w:lineRule="auto"/>
        <w:ind w:firstLine="663" w:firstLineChars="236"/>
        <w:contextualSpacing/>
        <w:rPr>
          <w:rFonts w:ascii="仿宋" w:hAnsi="仿宋" w:eastAsia="仿宋" w:cs="楷体"/>
          <w:b/>
          <w:bCs/>
          <w:sz w:val="28"/>
          <w:szCs w:val="28"/>
          <w:u w:val="single"/>
        </w:rPr>
      </w:pPr>
      <w:r>
        <w:rPr>
          <w:rFonts w:hint="eastAsia" w:ascii="仿宋" w:hAnsi="仿宋" w:eastAsia="仿宋" w:cs="楷体"/>
          <w:b/>
          <w:bCs/>
          <w:sz w:val="28"/>
          <w:szCs w:val="28"/>
          <w:u w:val="single"/>
        </w:rPr>
        <w:t>4.调测车载考试设备、相关软件及参数设置。</w:t>
      </w:r>
    </w:p>
    <w:p>
      <w:pPr>
        <w:spacing w:line="360" w:lineRule="auto"/>
        <w:ind w:firstLine="663" w:firstLineChars="236"/>
        <w:contextualSpacing/>
        <w:rPr>
          <w:rFonts w:ascii="仿宋" w:hAnsi="仿宋" w:eastAsia="仿宋" w:cs="楷体"/>
          <w:b/>
          <w:bCs/>
          <w:sz w:val="28"/>
          <w:szCs w:val="28"/>
          <w:u w:val="single"/>
        </w:rPr>
      </w:pPr>
      <w:r>
        <w:rPr>
          <w:rFonts w:hint="eastAsia" w:ascii="仿宋" w:hAnsi="仿宋" w:eastAsia="仿宋" w:cs="楷体"/>
          <w:b/>
          <w:bCs/>
          <w:sz w:val="28"/>
          <w:szCs w:val="28"/>
          <w:u w:val="single"/>
        </w:rPr>
        <w:t>5. 设备清单如下：</w:t>
      </w:r>
    </w:p>
    <w:tbl>
      <w:tblPr>
        <w:tblStyle w:val="13"/>
        <w:tblW w:w="9493" w:type="dxa"/>
        <w:tblInd w:w="0" w:type="dxa"/>
        <w:tblLayout w:type="autofit"/>
        <w:tblCellMar>
          <w:top w:w="0" w:type="dxa"/>
          <w:left w:w="108" w:type="dxa"/>
          <w:bottom w:w="0" w:type="dxa"/>
          <w:right w:w="108" w:type="dxa"/>
        </w:tblCellMar>
      </w:tblPr>
      <w:tblGrid>
        <w:gridCol w:w="1002"/>
        <w:gridCol w:w="1002"/>
        <w:gridCol w:w="3803"/>
        <w:gridCol w:w="709"/>
        <w:gridCol w:w="709"/>
        <w:gridCol w:w="2268"/>
      </w:tblGrid>
      <w:tr>
        <w:tblPrEx>
          <w:tblCellMar>
            <w:top w:w="0" w:type="dxa"/>
            <w:left w:w="108" w:type="dxa"/>
            <w:bottom w:w="0" w:type="dxa"/>
            <w:right w:w="108" w:type="dxa"/>
          </w:tblCellMar>
        </w:tblPrEx>
        <w:trPr>
          <w:trHeight w:val="500" w:hRule="atLeast"/>
        </w:trPr>
        <w:tc>
          <w:tcPr>
            <w:tcW w:w="949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1  中心控制设备</w:t>
            </w:r>
          </w:p>
        </w:tc>
      </w:tr>
      <w:tr>
        <w:tblPrEx>
          <w:tblCellMar>
            <w:top w:w="0" w:type="dxa"/>
            <w:left w:w="108" w:type="dxa"/>
            <w:bottom w:w="0" w:type="dxa"/>
            <w:right w:w="108" w:type="dxa"/>
          </w:tblCellMar>
        </w:tblPrEx>
        <w:trPr>
          <w:trHeight w:val="500" w:hRule="atLeast"/>
        </w:trPr>
        <w:tc>
          <w:tcPr>
            <w:tcW w:w="1002"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序号</w:t>
            </w:r>
          </w:p>
        </w:tc>
        <w:tc>
          <w:tcPr>
            <w:tcW w:w="100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名称</w:t>
            </w:r>
          </w:p>
        </w:tc>
        <w:tc>
          <w:tcPr>
            <w:tcW w:w="380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规格型号</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单位</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数量</w:t>
            </w:r>
          </w:p>
        </w:tc>
        <w:tc>
          <w:tcPr>
            <w:tcW w:w="226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备注</w:t>
            </w:r>
          </w:p>
        </w:tc>
      </w:tr>
      <w:tr>
        <w:tblPrEx>
          <w:tblCellMar>
            <w:top w:w="0" w:type="dxa"/>
            <w:left w:w="108" w:type="dxa"/>
            <w:bottom w:w="0" w:type="dxa"/>
            <w:right w:w="108" w:type="dxa"/>
          </w:tblCellMar>
        </w:tblPrEx>
        <w:trPr>
          <w:trHeight w:val="500" w:hRule="atLeast"/>
        </w:trPr>
        <w:tc>
          <w:tcPr>
            <w:tcW w:w="1002"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1</w:t>
            </w:r>
          </w:p>
        </w:tc>
        <w:tc>
          <w:tcPr>
            <w:tcW w:w="100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无线通讯系统</w:t>
            </w:r>
          </w:p>
        </w:tc>
        <w:tc>
          <w:tcPr>
            <w:tcW w:w="380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带宽300Mbps；IEEE 802.11b/g/n协议；最大输出：27dBm；频率范围：5.8GHz、POE：55VDC，35W，加密方式：WEP,WPA-PSK,WPA-TKIP,WPA2 AES,802.11i；工作温度：-30—75℃；工作湿度：5—95%；支持无缝漫游；立杆：5.8G定制（含立柱、防雷器、机柜、馈线、基础、电源等）</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套</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1</w:t>
            </w:r>
          </w:p>
        </w:tc>
        <w:tc>
          <w:tcPr>
            <w:tcW w:w="226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　</w:t>
            </w:r>
          </w:p>
        </w:tc>
      </w:tr>
      <w:tr>
        <w:tblPrEx>
          <w:tblCellMar>
            <w:top w:w="0" w:type="dxa"/>
            <w:left w:w="108" w:type="dxa"/>
            <w:bottom w:w="0" w:type="dxa"/>
            <w:right w:w="108" w:type="dxa"/>
          </w:tblCellMar>
        </w:tblPrEx>
        <w:trPr>
          <w:trHeight w:val="500" w:hRule="atLeast"/>
        </w:trPr>
        <w:tc>
          <w:tcPr>
            <w:tcW w:w="1002"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2</w:t>
            </w:r>
          </w:p>
        </w:tc>
        <w:tc>
          <w:tcPr>
            <w:tcW w:w="100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中心安装辅材</w:t>
            </w:r>
          </w:p>
        </w:tc>
        <w:tc>
          <w:tcPr>
            <w:tcW w:w="380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定制</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套</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1</w:t>
            </w:r>
          </w:p>
        </w:tc>
        <w:tc>
          <w:tcPr>
            <w:tcW w:w="226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包含：网线、电源线、插板、电工胶布、水晶头等相关辅材</w:t>
            </w:r>
          </w:p>
        </w:tc>
      </w:tr>
      <w:tr>
        <w:tblPrEx>
          <w:tblCellMar>
            <w:top w:w="0" w:type="dxa"/>
            <w:left w:w="108" w:type="dxa"/>
            <w:bottom w:w="0" w:type="dxa"/>
            <w:right w:w="108" w:type="dxa"/>
          </w:tblCellMar>
        </w:tblPrEx>
        <w:trPr>
          <w:trHeight w:val="500" w:hRule="atLeast"/>
        </w:trPr>
        <w:tc>
          <w:tcPr>
            <w:tcW w:w="1002"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3</w:t>
            </w:r>
          </w:p>
        </w:tc>
        <w:tc>
          <w:tcPr>
            <w:tcW w:w="100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中心训练管理系统</w:t>
            </w:r>
          </w:p>
        </w:tc>
        <w:tc>
          <w:tcPr>
            <w:tcW w:w="3803"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kern w:val="0"/>
                <w:sz w:val="22"/>
                <w:szCs w:val="22"/>
              </w:rPr>
            </w:pPr>
            <w:r>
              <w:rPr>
                <w:rFonts w:hint="eastAsia" w:ascii="宋体" w:hAnsi="宋体" w:cs="宋体"/>
                <w:kern w:val="0"/>
                <w:sz w:val="18"/>
                <w:szCs w:val="18"/>
              </w:rPr>
              <w:t>定制</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套</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1</w:t>
            </w:r>
          </w:p>
        </w:tc>
        <w:tc>
          <w:tcPr>
            <w:tcW w:w="226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　</w:t>
            </w:r>
          </w:p>
        </w:tc>
      </w:tr>
      <w:tr>
        <w:tblPrEx>
          <w:tblCellMar>
            <w:top w:w="0" w:type="dxa"/>
            <w:left w:w="108" w:type="dxa"/>
            <w:bottom w:w="0" w:type="dxa"/>
            <w:right w:w="108" w:type="dxa"/>
          </w:tblCellMar>
        </w:tblPrEx>
        <w:trPr>
          <w:trHeight w:val="500" w:hRule="atLeast"/>
        </w:trPr>
        <w:tc>
          <w:tcPr>
            <w:tcW w:w="949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2 小车车载设备</w:t>
            </w:r>
          </w:p>
        </w:tc>
      </w:tr>
      <w:tr>
        <w:tblPrEx>
          <w:tblCellMar>
            <w:top w:w="0" w:type="dxa"/>
            <w:left w:w="108" w:type="dxa"/>
            <w:bottom w:w="0" w:type="dxa"/>
            <w:right w:w="108" w:type="dxa"/>
          </w:tblCellMar>
        </w:tblPrEx>
        <w:trPr>
          <w:trHeight w:val="500" w:hRule="atLeast"/>
        </w:trPr>
        <w:tc>
          <w:tcPr>
            <w:tcW w:w="1002"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序号</w:t>
            </w:r>
          </w:p>
        </w:tc>
        <w:tc>
          <w:tcPr>
            <w:tcW w:w="100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名称</w:t>
            </w:r>
          </w:p>
        </w:tc>
        <w:tc>
          <w:tcPr>
            <w:tcW w:w="380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规格型号</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单位</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数量</w:t>
            </w:r>
          </w:p>
        </w:tc>
        <w:tc>
          <w:tcPr>
            <w:tcW w:w="226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备注</w:t>
            </w:r>
          </w:p>
        </w:tc>
      </w:tr>
      <w:tr>
        <w:tblPrEx>
          <w:tblCellMar>
            <w:top w:w="0" w:type="dxa"/>
            <w:left w:w="108" w:type="dxa"/>
            <w:bottom w:w="0" w:type="dxa"/>
            <w:right w:w="108" w:type="dxa"/>
          </w:tblCellMar>
        </w:tblPrEx>
        <w:trPr>
          <w:trHeight w:val="500" w:hRule="atLeast"/>
        </w:trPr>
        <w:tc>
          <w:tcPr>
            <w:tcW w:w="1002"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1</w:t>
            </w:r>
          </w:p>
        </w:tc>
        <w:tc>
          <w:tcPr>
            <w:tcW w:w="100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模拟训练车载主机</w:t>
            </w:r>
          </w:p>
        </w:tc>
        <w:tc>
          <w:tcPr>
            <w:tcW w:w="380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采用高精度双卫星定位定向系统，实现车辆全姿态轮廓跟踪检测，能够实现与考试相关的考车状态信息采集、处理及传输</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台</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16</w:t>
            </w:r>
          </w:p>
        </w:tc>
        <w:tc>
          <w:tcPr>
            <w:tcW w:w="226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　</w:t>
            </w:r>
          </w:p>
        </w:tc>
      </w:tr>
      <w:tr>
        <w:tblPrEx>
          <w:tblCellMar>
            <w:top w:w="0" w:type="dxa"/>
            <w:left w:w="108" w:type="dxa"/>
            <w:bottom w:w="0" w:type="dxa"/>
            <w:right w:w="108" w:type="dxa"/>
          </w:tblCellMar>
        </w:tblPrEx>
        <w:trPr>
          <w:trHeight w:val="500" w:hRule="atLeast"/>
        </w:trPr>
        <w:tc>
          <w:tcPr>
            <w:tcW w:w="1002"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2</w:t>
            </w:r>
          </w:p>
        </w:tc>
        <w:tc>
          <w:tcPr>
            <w:tcW w:w="100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科目二车载安装配件</w:t>
            </w:r>
          </w:p>
        </w:tc>
        <w:tc>
          <w:tcPr>
            <w:tcW w:w="380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定制</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套</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16</w:t>
            </w:r>
          </w:p>
        </w:tc>
        <w:tc>
          <w:tcPr>
            <w:tcW w:w="226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　</w:t>
            </w:r>
          </w:p>
        </w:tc>
      </w:tr>
      <w:tr>
        <w:tblPrEx>
          <w:tblCellMar>
            <w:top w:w="0" w:type="dxa"/>
            <w:left w:w="108" w:type="dxa"/>
            <w:bottom w:w="0" w:type="dxa"/>
            <w:right w:w="108" w:type="dxa"/>
          </w:tblCellMar>
        </w:tblPrEx>
        <w:trPr>
          <w:trHeight w:val="500" w:hRule="atLeast"/>
        </w:trPr>
        <w:tc>
          <w:tcPr>
            <w:tcW w:w="1002"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3</w:t>
            </w:r>
          </w:p>
        </w:tc>
        <w:tc>
          <w:tcPr>
            <w:tcW w:w="100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工控机套件</w:t>
            </w:r>
          </w:p>
        </w:tc>
        <w:tc>
          <w:tcPr>
            <w:tcW w:w="380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10.2” TFT LCD 带电阻式触摸屏；CPU：IntelR Atom N270 1.6GHz CPU；芯片组：IntelR 945GSE + ICH7M；内存：2GB 533MHz DDRII SO-DIMM最大)；存储：8G CF II；分辨率：1024 x 600；亮度(cd/㎡)： 400；对比度： 400: 1；LCD色彩： 262K；像素间距(mm)： 0.2175 mm (H) x 0.2175 mm (V)；视角(H-V)：140° / 110°；背光寿命(Hrs)：40000 h；I/O接口及开关：1 x RS-232 COM，1 x RS-232/422/485 COM，2 x RJ-45 Giga LAN，2 x USB 2.0，1 x 电源开关，1 x 重启按钮br/&gt;1 x 外置 SATA，1 x 音频，1 x 电源插孔；前面板材质：ABS + PC 塑料前面框；净重不大于：1.4 Kg；IP防护等级(前面板)：前面板 IP64；</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套</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16</w:t>
            </w:r>
          </w:p>
        </w:tc>
        <w:tc>
          <w:tcPr>
            <w:tcW w:w="226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　</w:t>
            </w:r>
          </w:p>
        </w:tc>
      </w:tr>
      <w:tr>
        <w:tblPrEx>
          <w:tblCellMar>
            <w:top w:w="0" w:type="dxa"/>
            <w:left w:w="108" w:type="dxa"/>
            <w:bottom w:w="0" w:type="dxa"/>
            <w:right w:w="108" w:type="dxa"/>
          </w:tblCellMar>
        </w:tblPrEx>
        <w:trPr>
          <w:trHeight w:val="500" w:hRule="atLeast"/>
        </w:trPr>
        <w:tc>
          <w:tcPr>
            <w:tcW w:w="1002"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4</w:t>
            </w:r>
          </w:p>
        </w:tc>
        <w:tc>
          <w:tcPr>
            <w:tcW w:w="100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车载模拟训练系统软件</w:t>
            </w:r>
          </w:p>
        </w:tc>
        <w:tc>
          <w:tcPr>
            <w:tcW w:w="380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符合公安部162号令标准.　</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套</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16</w:t>
            </w:r>
          </w:p>
        </w:tc>
        <w:tc>
          <w:tcPr>
            <w:tcW w:w="226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　</w:t>
            </w:r>
          </w:p>
        </w:tc>
      </w:tr>
      <w:tr>
        <w:tblPrEx>
          <w:tblCellMar>
            <w:top w:w="0" w:type="dxa"/>
            <w:left w:w="108" w:type="dxa"/>
            <w:bottom w:w="0" w:type="dxa"/>
            <w:right w:w="108" w:type="dxa"/>
          </w:tblCellMar>
        </w:tblPrEx>
        <w:trPr>
          <w:trHeight w:val="500" w:hRule="atLeast"/>
        </w:trPr>
        <w:tc>
          <w:tcPr>
            <w:tcW w:w="1002"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5</w:t>
            </w:r>
          </w:p>
        </w:tc>
        <w:tc>
          <w:tcPr>
            <w:tcW w:w="100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空档检测装置</w:t>
            </w:r>
          </w:p>
        </w:tc>
        <w:tc>
          <w:tcPr>
            <w:tcW w:w="380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根据具体车型配发（小车）</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套</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16</w:t>
            </w:r>
          </w:p>
        </w:tc>
        <w:tc>
          <w:tcPr>
            <w:tcW w:w="226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同考试系统档位</w:t>
            </w:r>
          </w:p>
        </w:tc>
      </w:tr>
    </w:tbl>
    <w:p>
      <w:pPr>
        <w:spacing w:line="360" w:lineRule="auto"/>
        <w:ind w:firstLine="663" w:firstLineChars="236"/>
        <w:contextualSpacing/>
        <w:rPr>
          <w:rFonts w:ascii="仿宋" w:hAnsi="仿宋" w:eastAsia="仿宋" w:cs="楷体"/>
          <w:b/>
          <w:bCs/>
          <w:sz w:val="28"/>
          <w:szCs w:val="28"/>
          <w:u w:val="single"/>
        </w:rPr>
      </w:pPr>
    </w:p>
    <w:p>
      <w:pPr>
        <w:spacing w:line="360" w:lineRule="auto"/>
        <w:ind w:firstLine="663" w:firstLineChars="236"/>
        <w:contextualSpacing/>
        <w:rPr>
          <w:rFonts w:ascii="仿宋" w:hAnsi="仿宋" w:eastAsia="仿宋" w:cs="楷体"/>
          <w:b/>
          <w:bCs/>
          <w:sz w:val="28"/>
          <w:szCs w:val="28"/>
          <w:u w:val="single"/>
        </w:rPr>
      </w:pPr>
      <w:r>
        <w:rPr>
          <w:rFonts w:hint="eastAsia" w:ascii="仿宋" w:hAnsi="仿宋" w:eastAsia="仿宋" w:cs="楷体"/>
          <w:b/>
          <w:bCs/>
          <w:sz w:val="28"/>
          <w:szCs w:val="28"/>
          <w:u w:val="single"/>
        </w:rPr>
        <w:t>（三）、</w:t>
      </w:r>
      <w:r>
        <w:rPr>
          <w:rFonts w:hint="eastAsia" w:ascii="仿宋" w:hAnsi="仿宋" w:eastAsia="仿宋" w:cs="楷体"/>
          <w:b/>
          <w:bCs/>
          <w:sz w:val="28"/>
          <w:szCs w:val="28"/>
          <w:u w:val="single"/>
        </w:rPr>
        <w:tab/>
      </w:r>
      <w:r>
        <w:rPr>
          <w:rFonts w:hint="eastAsia" w:ascii="仿宋" w:hAnsi="仿宋" w:eastAsia="仿宋" w:cs="楷体"/>
          <w:b/>
          <w:bCs/>
          <w:sz w:val="28"/>
          <w:szCs w:val="28"/>
          <w:u w:val="single"/>
        </w:rPr>
        <w:t>在中心站（监控室）考试训练系统里添加新考试车设置，设置相关的参数，包括车载网络设备、车辆编号、车辆参数、考试项目电子地图、软硬件协议配置、软件授权注册等。</w:t>
      </w:r>
    </w:p>
    <w:p>
      <w:pPr>
        <w:spacing w:line="360" w:lineRule="auto"/>
        <w:ind w:firstLine="663" w:firstLineChars="236"/>
        <w:contextualSpacing/>
        <w:rPr>
          <w:rFonts w:ascii="仿宋" w:hAnsi="仿宋" w:eastAsia="仿宋" w:cs="楷体"/>
          <w:b/>
          <w:bCs/>
          <w:sz w:val="28"/>
          <w:szCs w:val="28"/>
          <w:u w:val="single"/>
        </w:rPr>
      </w:pPr>
      <w:r>
        <w:rPr>
          <w:rFonts w:hint="eastAsia" w:ascii="仿宋" w:hAnsi="仿宋" w:eastAsia="仿宋" w:cs="楷体"/>
          <w:b/>
          <w:bCs/>
          <w:sz w:val="28"/>
          <w:szCs w:val="28"/>
          <w:u w:val="single"/>
        </w:rPr>
        <w:t>（四）、</w:t>
      </w:r>
      <w:r>
        <w:rPr>
          <w:rFonts w:hint="eastAsia" w:ascii="仿宋" w:hAnsi="仿宋" w:eastAsia="仿宋" w:cs="楷体"/>
          <w:b/>
          <w:bCs/>
          <w:sz w:val="28"/>
          <w:szCs w:val="28"/>
          <w:u w:val="single"/>
        </w:rPr>
        <w:tab/>
      </w:r>
      <w:r>
        <w:rPr>
          <w:rFonts w:hint="eastAsia" w:ascii="仿宋" w:hAnsi="仿宋" w:eastAsia="仿宋" w:cs="楷体"/>
          <w:b/>
          <w:bCs/>
          <w:sz w:val="28"/>
          <w:szCs w:val="28"/>
          <w:u w:val="single"/>
        </w:rPr>
        <w:t>★新增科目二训练车载设备须能实现与现有科目二考试车载设备互通互用。</w:t>
      </w:r>
    </w:p>
    <w:p>
      <w:pPr>
        <w:spacing w:line="360" w:lineRule="auto"/>
        <w:ind w:firstLine="663" w:firstLineChars="236"/>
        <w:contextualSpacing/>
        <w:rPr>
          <w:rFonts w:ascii="仿宋" w:hAnsi="仿宋" w:eastAsia="仿宋" w:cs="楷体"/>
          <w:b/>
          <w:bCs/>
          <w:sz w:val="28"/>
          <w:szCs w:val="28"/>
          <w:u w:val="single"/>
        </w:rPr>
      </w:pPr>
      <w:r>
        <w:rPr>
          <w:rFonts w:hint="eastAsia" w:ascii="仿宋" w:hAnsi="仿宋" w:eastAsia="仿宋" w:cs="楷体"/>
          <w:b/>
          <w:bCs/>
          <w:sz w:val="28"/>
          <w:szCs w:val="28"/>
          <w:u w:val="single"/>
        </w:rPr>
        <w:t>1）车载训练系统应具有较强扩展性，可任意增减符合考试项目尺寸的考试训练车辆而不用改造控制中心和场地设备、可以后期增加其他训练收费和限时等辅助训练功能。</w:t>
      </w:r>
    </w:p>
    <w:p>
      <w:pPr>
        <w:spacing w:line="360" w:lineRule="auto"/>
        <w:ind w:firstLine="663" w:firstLineChars="236"/>
        <w:contextualSpacing/>
        <w:rPr>
          <w:rFonts w:ascii="仿宋" w:hAnsi="仿宋" w:eastAsia="仿宋" w:cs="楷体"/>
          <w:b/>
          <w:bCs/>
          <w:sz w:val="28"/>
          <w:szCs w:val="28"/>
          <w:u w:val="single"/>
        </w:rPr>
      </w:pPr>
      <w:r>
        <w:rPr>
          <w:rFonts w:hint="eastAsia" w:ascii="仿宋" w:hAnsi="仿宋" w:eastAsia="仿宋" w:cs="楷体"/>
          <w:b/>
          <w:bCs/>
          <w:sz w:val="28"/>
          <w:szCs w:val="28"/>
          <w:u w:val="single"/>
        </w:rPr>
        <w:t>2）设备要求设计牢固、可靠、经久耐用。可适应雨、雾、雪、风、强光、阴天等各种非灾难性气候环境，稳定地工作；具备防鼠、防虫破坏以及较强的防锈蚀能力。路考系统运行应稳定、可靠，在正常使用维护条件下，误报率≤2/1000 车次，在训练工作情况正常的条件下，经过培训的非专业人员处理的故障率（不包含软件及软件环境引的故障）≤2/1000 车次，专业人员处理的故障率≤1/1000 车次。</w:t>
      </w:r>
    </w:p>
    <w:p>
      <w:pPr>
        <w:spacing w:line="360" w:lineRule="auto"/>
        <w:ind w:firstLine="663" w:firstLineChars="236"/>
        <w:contextualSpacing/>
        <w:rPr>
          <w:rFonts w:ascii="仿宋" w:hAnsi="仿宋" w:eastAsia="仿宋" w:cs="楷体"/>
          <w:b/>
          <w:bCs/>
          <w:sz w:val="28"/>
          <w:szCs w:val="28"/>
          <w:u w:val="single"/>
        </w:rPr>
      </w:pPr>
      <w:r>
        <w:rPr>
          <w:rFonts w:hint="eastAsia" w:ascii="仿宋" w:hAnsi="仿宋" w:eastAsia="仿宋" w:cs="楷体"/>
          <w:b/>
          <w:bCs/>
          <w:sz w:val="28"/>
          <w:szCs w:val="28"/>
          <w:u w:val="single"/>
        </w:rPr>
        <w:t>3）</w:t>
      </w:r>
      <w:r>
        <w:rPr>
          <w:rFonts w:hint="eastAsia" w:ascii="仿宋" w:hAnsi="仿宋" w:eastAsia="仿宋" w:cs="楷体"/>
          <w:b/>
          <w:bCs/>
          <w:sz w:val="28"/>
          <w:szCs w:val="28"/>
          <w:u w:val="single"/>
        </w:rPr>
        <w:tab/>
      </w:r>
      <w:r>
        <w:rPr>
          <w:rFonts w:hint="eastAsia" w:ascii="仿宋" w:hAnsi="仿宋" w:eastAsia="仿宋" w:cs="楷体"/>
          <w:b/>
          <w:bCs/>
          <w:sz w:val="28"/>
          <w:szCs w:val="28"/>
          <w:u w:val="single"/>
        </w:rPr>
        <w:t>车载系统应具有较强的抗干扰能力。包括抗电磁干扰、防雷击、防静电、防浪涌电流等能力。</w:t>
      </w:r>
    </w:p>
    <w:p>
      <w:pPr>
        <w:spacing w:line="360" w:lineRule="auto"/>
        <w:ind w:firstLine="663" w:firstLineChars="236"/>
        <w:contextualSpacing/>
        <w:rPr>
          <w:rFonts w:ascii="仿宋" w:hAnsi="仿宋" w:eastAsia="仿宋" w:cs="楷体"/>
          <w:b/>
          <w:bCs/>
          <w:sz w:val="28"/>
          <w:szCs w:val="28"/>
          <w:u w:val="single"/>
        </w:rPr>
      </w:pPr>
      <w:r>
        <w:rPr>
          <w:rFonts w:hint="eastAsia" w:ascii="仿宋" w:hAnsi="仿宋" w:eastAsia="仿宋" w:cs="楷体"/>
          <w:b/>
          <w:bCs/>
          <w:sz w:val="28"/>
          <w:szCs w:val="28"/>
          <w:u w:val="single"/>
        </w:rPr>
        <w:t xml:space="preserve">4）新增车载设备包含 </w:t>
      </w:r>
      <w:r>
        <w:rPr>
          <w:rFonts w:ascii="仿宋" w:hAnsi="仿宋" w:eastAsia="仿宋" w:cs="楷体"/>
          <w:b/>
          <w:bCs/>
          <w:sz w:val="28"/>
          <w:szCs w:val="28"/>
          <w:u w:val="single"/>
        </w:rPr>
        <w:t>2022</w:t>
      </w:r>
      <w:r>
        <w:rPr>
          <w:rFonts w:hint="eastAsia" w:ascii="仿宋" w:hAnsi="仿宋" w:eastAsia="仿宋" w:cs="楷体"/>
          <w:b/>
          <w:bCs/>
          <w:sz w:val="28"/>
          <w:szCs w:val="28"/>
          <w:u w:val="single"/>
        </w:rPr>
        <w:t xml:space="preserve">年 </w:t>
      </w:r>
      <w:r>
        <w:rPr>
          <w:rFonts w:ascii="仿宋" w:hAnsi="仿宋" w:eastAsia="仿宋" w:cs="楷体"/>
          <w:b/>
          <w:bCs/>
          <w:sz w:val="28"/>
          <w:szCs w:val="28"/>
          <w:u w:val="single"/>
        </w:rPr>
        <w:t>6</w:t>
      </w:r>
      <w:r>
        <w:rPr>
          <w:rFonts w:hint="eastAsia" w:ascii="仿宋" w:hAnsi="仿宋" w:eastAsia="仿宋" w:cs="楷体"/>
          <w:b/>
          <w:bCs/>
          <w:sz w:val="28"/>
          <w:szCs w:val="28"/>
          <w:u w:val="single"/>
        </w:rPr>
        <w:t xml:space="preserve"> 月 1 日按公安部令 </w:t>
      </w:r>
      <w:r>
        <w:rPr>
          <w:rFonts w:ascii="仿宋" w:hAnsi="仿宋" w:eastAsia="仿宋" w:cs="楷体"/>
          <w:b/>
          <w:bCs/>
          <w:sz w:val="28"/>
          <w:szCs w:val="28"/>
          <w:u w:val="single"/>
        </w:rPr>
        <w:t>162</w:t>
      </w:r>
      <w:r>
        <w:rPr>
          <w:rFonts w:hint="eastAsia" w:ascii="仿宋" w:hAnsi="仿宋" w:eastAsia="仿宋" w:cs="楷体"/>
          <w:b/>
          <w:bCs/>
          <w:sz w:val="28"/>
          <w:szCs w:val="28"/>
          <w:u w:val="single"/>
        </w:rPr>
        <w:t>号要求升级的设备及功能。</w:t>
      </w:r>
    </w:p>
    <w:p>
      <w:pPr>
        <w:spacing w:line="360" w:lineRule="auto"/>
        <w:ind w:firstLine="663" w:firstLineChars="236"/>
        <w:contextualSpacing/>
        <w:rPr>
          <w:rFonts w:ascii="仿宋" w:hAnsi="仿宋" w:eastAsia="仿宋" w:cs="楷体"/>
          <w:b/>
          <w:bCs/>
          <w:sz w:val="28"/>
          <w:szCs w:val="28"/>
          <w:u w:val="single"/>
        </w:rPr>
      </w:pPr>
      <w:r>
        <w:rPr>
          <w:rFonts w:hint="eastAsia" w:ascii="仿宋" w:hAnsi="仿宋" w:eastAsia="仿宋" w:cs="楷体"/>
          <w:b/>
          <w:bCs/>
          <w:sz w:val="28"/>
          <w:szCs w:val="28"/>
          <w:u w:val="single"/>
        </w:rPr>
        <w:t>（五）智能车载考试训练系统功能</w:t>
      </w:r>
    </w:p>
    <w:p>
      <w:pPr>
        <w:spacing w:line="360" w:lineRule="auto"/>
        <w:ind w:firstLine="663" w:firstLineChars="236"/>
        <w:contextualSpacing/>
        <w:rPr>
          <w:rFonts w:ascii="仿宋" w:hAnsi="仿宋" w:eastAsia="仿宋" w:cs="楷体"/>
          <w:b/>
          <w:bCs/>
          <w:sz w:val="28"/>
          <w:szCs w:val="28"/>
          <w:u w:val="single"/>
        </w:rPr>
      </w:pPr>
      <w:r>
        <w:rPr>
          <w:rFonts w:hint="eastAsia" w:ascii="仿宋" w:hAnsi="仿宋" w:eastAsia="仿宋" w:cs="楷体"/>
          <w:b/>
          <w:bCs/>
          <w:sz w:val="28"/>
          <w:szCs w:val="28"/>
          <w:u w:val="single"/>
        </w:rPr>
        <w:t>1.</w:t>
      </w:r>
      <w:r>
        <w:rPr>
          <w:rFonts w:hint="eastAsia" w:ascii="仿宋" w:hAnsi="仿宋" w:eastAsia="仿宋" w:cs="楷体"/>
          <w:b/>
          <w:bCs/>
          <w:sz w:val="28"/>
          <w:szCs w:val="28"/>
          <w:u w:val="single"/>
        </w:rPr>
        <w:tab/>
      </w:r>
      <w:r>
        <w:rPr>
          <w:rFonts w:hint="eastAsia" w:ascii="仿宋" w:hAnsi="仿宋" w:eastAsia="仿宋" w:cs="楷体"/>
          <w:b/>
          <w:bCs/>
          <w:sz w:val="28"/>
          <w:szCs w:val="28"/>
          <w:u w:val="single"/>
        </w:rPr>
        <w:t>车载系统可以实时检测收集考车的工作状态和考生的考试情况；考车的工作状态包括：速度、档位、刹车、离合、驻车制动、熄火、安全带、车门、转向灯、紧急状态灯等。对于档位的检测要求车辆不管在车辆静止还是运动状态下都能实现所有档位都能检测。</w:t>
      </w:r>
    </w:p>
    <w:p>
      <w:pPr>
        <w:spacing w:line="360" w:lineRule="auto"/>
        <w:ind w:firstLine="663" w:firstLineChars="236"/>
        <w:contextualSpacing/>
        <w:rPr>
          <w:rFonts w:ascii="仿宋" w:hAnsi="仿宋" w:eastAsia="仿宋" w:cs="楷体"/>
          <w:b/>
          <w:bCs/>
          <w:sz w:val="28"/>
          <w:szCs w:val="28"/>
          <w:u w:val="single"/>
        </w:rPr>
      </w:pPr>
      <w:r>
        <w:rPr>
          <w:rFonts w:hint="eastAsia" w:ascii="仿宋" w:hAnsi="仿宋" w:eastAsia="仿宋" w:cs="楷体"/>
          <w:b/>
          <w:bCs/>
          <w:sz w:val="28"/>
          <w:szCs w:val="28"/>
          <w:u w:val="single"/>
        </w:rPr>
        <w:t>2.</w:t>
      </w:r>
      <w:r>
        <w:rPr>
          <w:rFonts w:hint="eastAsia" w:ascii="仿宋" w:hAnsi="仿宋" w:eastAsia="仿宋" w:cs="楷体"/>
          <w:b/>
          <w:bCs/>
          <w:sz w:val="28"/>
          <w:szCs w:val="28"/>
          <w:u w:val="single"/>
        </w:rPr>
        <w:tab/>
      </w:r>
      <w:r>
        <w:rPr>
          <w:rFonts w:hint="eastAsia" w:ascii="仿宋" w:hAnsi="仿宋" w:eastAsia="仿宋" w:cs="楷体"/>
          <w:b/>
          <w:bCs/>
          <w:sz w:val="28"/>
          <w:szCs w:val="28"/>
          <w:u w:val="single"/>
        </w:rPr>
        <w:t>车载主机应采用微型低功耗工控机系统；电源系统应保证不用辅助电瓶且熄火或发动时主机和数据不受影响。能够满足高低温，由于广东炎热的气候特点，车载计算机设备必须满足在工作环境70度以下含70度，可以正常工作，机箱必须具备散热风扇等降温设备及抗震功效。</w:t>
      </w:r>
    </w:p>
    <w:p>
      <w:pPr>
        <w:spacing w:line="360" w:lineRule="auto"/>
        <w:ind w:firstLine="663" w:firstLineChars="236"/>
        <w:contextualSpacing/>
        <w:rPr>
          <w:rFonts w:ascii="仿宋" w:hAnsi="仿宋" w:eastAsia="仿宋" w:cs="楷体"/>
          <w:b/>
          <w:bCs/>
          <w:sz w:val="28"/>
          <w:szCs w:val="28"/>
          <w:u w:val="single"/>
        </w:rPr>
      </w:pPr>
      <w:r>
        <w:rPr>
          <w:rFonts w:hint="eastAsia" w:ascii="仿宋" w:hAnsi="仿宋" w:eastAsia="仿宋" w:cs="楷体"/>
          <w:b/>
          <w:bCs/>
          <w:sz w:val="28"/>
          <w:szCs w:val="28"/>
          <w:u w:val="single"/>
        </w:rPr>
        <w:t>3.</w:t>
      </w:r>
      <w:r>
        <w:rPr>
          <w:rFonts w:hint="eastAsia" w:ascii="仿宋" w:hAnsi="仿宋" w:eastAsia="仿宋" w:cs="楷体"/>
          <w:b/>
          <w:bCs/>
          <w:sz w:val="28"/>
          <w:szCs w:val="28"/>
          <w:u w:val="single"/>
        </w:rPr>
        <w:tab/>
      </w:r>
      <w:r>
        <w:rPr>
          <w:rFonts w:hint="eastAsia" w:ascii="仿宋" w:hAnsi="仿宋" w:eastAsia="仿宋" w:cs="楷体"/>
          <w:b/>
          <w:bCs/>
          <w:sz w:val="28"/>
          <w:szCs w:val="28"/>
          <w:u w:val="single"/>
        </w:rPr>
        <w:t>考试训练车内的车载显示屏，采用高亮度液晶触摸屏，要求计算机软件界面简洁、美观，符合用户的操作习惯，保证在强光线下显示内容清晰可见，显示内容当前分数、扣分原因等，考试项目全程语音提示，包括项目开始准备，项目操作过程中线路指引、训练终止或结束后的返回线路语音提示。语音提示考生训练途中的线路指引，避免与其它考试车辆交汇。</w:t>
      </w:r>
    </w:p>
    <w:p>
      <w:pPr>
        <w:spacing w:line="360" w:lineRule="auto"/>
        <w:ind w:firstLine="663" w:firstLineChars="236"/>
        <w:contextualSpacing/>
        <w:rPr>
          <w:rFonts w:ascii="仿宋" w:hAnsi="仿宋" w:eastAsia="仿宋" w:cs="楷体"/>
          <w:b/>
          <w:bCs/>
          <w:sz w:val="28"/>
          <w:szCs w:val="28"/>
          <w:u w:val="single"/>
        </w:rPr>
      </w:pPr>
      <w:r>
        <w:rPr>
          <w:rFonts w:hint="eastAsia" w:ascii="仿宋" w:hAnsi="仿宋" w:eastAsia="仿宋" w:cs="楷体"/>
          <w:b/>
          <w:bCs/>
          <w:sz w:val="28"/>
          <w:szCs w:val="28"/>
          <w:u w:val="single"/>
        </w:rPr>
        <w:t>4.</w:t>
      </w:r>
      <w:r>
        <w:rPr>
          <w:rFonts w:hint="eastAsia" w:ascii="仿宋" w:hAnsi="仿宋" w:eastAsia="仿宋" w:cs="楷体"/>
          <w:b/>
          <w:bCs/>
          <w:sz w:val="28"/>
          <w:szCs w:val="28"/>
          <w:u w:val="single"/>
        </w:rPr>
        <w:tab/>
      </w:r>
      <w:r>
        <w:rPr>
          <w:rFonts w:hint="eastAsia" w:ascii="仿宋" w:hAnsi="仿宋" w:eastAsia="仿宋" w:cs="楷体"/>
          <w:b/>
          <w:bCs/>
          <w:sz w:val="28"/>
          <w:szCs w:val="28"/>
          <w:u w:val="single"/>
        </w:rPr>
        <w:t>车载设备的安装科学合理，安装更换便捷，结构设计和安装方式能有效确保车载系统的各项性能指标。</w:t>
      </w:r>
    </w:p>
    <w:p>
      <w:pPr>
        <w:spacing w:line="360" w:lineRule="auto"/>
        <w:ind w:firstLine="663" w:firstLineChars="236"/>
        <w:contextualSpacing/>
        <w:rPr>
          <w:rFonts w:ascii="仿宋" w:hAnsi="仿宋" w:eastAsia="仿宋" w:cs="楷体"/>
          <w:b/>
          <w:bCs/>
          <w:sz w:val="28"/>
          <w:szCs w:val="28"/>
          <w:u w:val="single"/>
        </w:rPr>
      </w:pPr>
      <w:r>
        <w:rPr>
          <w:rFonts w:hint="eastAsia" w:ascii="仿宋" w:hAnsi="仿宋" w:eastAsia="仿宋" w:cs="楷体"/>
          <w:b/>
          <w:bCs/>
          <w:sz w:val="28"/>
          <w:szCs w:val="28"/>
          <w:u w:val="single"/>
        </w:rPr>
        <w:t>5.</w:t>
      </w:r>
      <w:r>
        <w:rPr>
          <w:rFonts w:hint="eastAsia" w:ascii="仿宋" w:hAnsi="仿宋" w:eastAsia="仿宋" w:cs="楷体"/>
          <w:b/>
          <w:bCs/>
          <w:sz w:val="28"/>
          <w:szCs w:val="28"/>
          <w:u w:val="single"/>
        </w:rPr>
        <w:tab/>
      </w:r>
      <w:r>
        <w:rPr>
          <w:rFonts w:hint="eastAsia" w:ascii="仿宋" w:hAnsi="仿宋" w:eastAsia="仿宋" w:cs="楷体"/>
          <w:b/>
          <w:bCs/>
          <w:sz w:val="28"/>
          <w:szCs w:val="28"/>
          <w:u w:val="single"/>
        </w:rPr>
        <w:t>对考试用车的改造不破坏车辆基本构造，能保障车辆的安全性能，确保考试安全，安装与布线可靠、规范、美观；</w:t>
      </w:r>
    </w:p>
    <w:p>
      <w:pPr>
        <w:spacing w:line="360" w:lineRule="auto"/>
        <w:ind w:firstLine="663" w:firstLineChars="236"/>
        <w:contextualSpacing/>
        <w:rPr>
          <w:rFonts w:ascii="仿宋" w:hAnsi="仿宋" w:eastAsia="仿宋" w:cs="楷体"/>
          <w:b/>
          <w:bCs/>
          <w:sz w:val="28"/>
          <w:szCs w:val="28"/>
        </w:rPr>
      </w:pPr>
      <w:r>
        <w:rPr>
          <w:rFonts w:hint="eastAsia" w:ascii="仿宋" w:hAnsi="仿宋" w:eastAsia="仿宋" w:cs="楷体"/>
          <w:b/>
          <w:bCs/>
          <w:sz w:val="28"/>
          <w:szCs w:val="28"/>
        </w:rPr>
        <w:t>（六）考试扣分项目：</w:t>
      </w:r>
    </w:p>
    <w:p>
      <w:pPr>
        <w:pStyle w:val="25"/>
        <w:numPr>
          <w:ilvl w:val="0"/>
          <w:numId w:val="1"/>
        </w:numPr>
        <w:spacing w:line="360" w:lineRule="auto"/>
        <w:ind w:firstLineChars="0"/>
        <w:contextualSpacing/>
        <w:rPr>
          <w:rFonts w:ascii="仿宋" w:hAnsi="仿宋" w:eastAsia="仿宋" w:cs="楷体"/>
          <w:sz w:val="28"/>
          <w:szCs w:val="28"/>
        </w:rPr>
      </w:pPr>
      <w:r>
        <w:rPr>
          <w:rFonts w:hint="eastAsia" w:ascii="仿宋" w:hAnsi="仿宋" w:eastAsia="仿宋" w:cs="楷体"/>
          <w:sz w:val="28"/>
          <w:szCs w:val="28"/>
        </w:rPr>
        <w:t>科目二通用评判升级，具体包含</w:t>
      </w:r>
      <w:r>
        <w:rPr>
          <w:rFonts w:ascii="仿宋" w:hAnsi="仿宋" w:eastAsia="仿宋" w:cs="楷体"/>
          <w:sz w:val="28"/>
          <w:szCs w:val="28"/>
        </w:rPr>
        <w:t>37</w:t>
      </w:r>
      <w:r>
        <w:rPr>
          <w:rFonts w:hint="eastAsia" w:ascii="仿宋" w:hAnsi="仿宋" w:eastAsia="仿宋" w:cs="楷体"/>
          <w:sz w:val="28"/>
          <w:szCs w:val="28"/>
        </w:rPr>
        <w:t>个情形的扣分项目；</w:t>
      </w:r>
    </w:p>
    <w:tbl>
      <w:tblPr>
        <w:tblStyle w:val="13"/>
        <w:tblW w:w="10060" w:type="dxa"/>
        <w:jc w:val="center"/>
        <w:tblLayout w:type="autofit"/>
        <w:tblCellMar>
          <w:top w:w="0" w:type="dxa"/>
          <w:left w:w="108" w:type="dxa"/>
          <w:bottom w:w="0" w:type="dxa"/>
          <w:right w:w="108" w:type="dxa"/>
        </w:tblCellMar>
      </w:tblPr>
      <w:tblGrid>
        <w:gridCol w:w="860"/>
        <w:gridCol w:w="1220"/>
        <w:gridCol w:w="2168"/>
        <w:gridCol w:w="1812"/>
        <w:gridCol w:w="4000"/>
      </w:tblGrid>
      <w:tr>
        <w:tblPrEx>
          <w:tblCellMar>
            <w:top w:w="0" w:type="dxa"/>
            <w:left w:w="108" w:type="dxa"/>
            <w:bottom w:w="0" w:type="dxa"/>
            <w:right w:w="108" w:type="dxa"/>
          </w:tblCellMar>
        </w:tblPrEx>
        <w:trPr>
          <w:trHeight w:val="280" w:hRule="atLeast"/>
          <w:jc w:val="center"/>
        </w:trPr>
        <w:tc>
          <w:tcPr>
            <w:tcW w:w="860"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18"/>
                <w:szCs w:val="18"/>
              </w:rPr>
            </w:pPr>
            <w:r>
              <w:rPr>
                <w:rFonts w:hint="eastAsia" w:ascii="宋体" w:hAnsi="宋体" w:cs="宋体"/>
                <w:kern w:val="0"/>
                <w:sz w:val="18"/>
                <w:szCs w:val="18"/>
              </w:rPr>
              <w:t>序号</w:t>
            </w:r>
          </w:p>
        </w:tc>
        <w:tc>
          <w:tcPr>
            <w:tcW w:w="122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考试项目</w:t>
            </w:r>
          </w:p>
        </w:tc>
        <w:tc>
          <w:tcPr>
            <w:tcW w:w="2168" w:type="dxa"/>
            <w:tcBorders>
              <w:top w:val="single" w:color="auto" w:sz="4" w:space="0"/>
              <w:left w:val="single" w:color="auto" w:sz="4" w:space="0"/>
              <w:bottom w:val="single" w:color="auto" w:sz="4" w:space="0"/>
              <w:right w:val="single" w:color="auto" w:sz="4" w:space="0"/>
            </w:tcBorders>
            <w:vAlign w:val="center"/>
          </w:tcPr>
          <w:p>
            <w:pPr>
              <w:widowControl/>
              <w:ind w:firstLine="360" w:firstLineChars="200"/>
              <w:jc w:val="left"/>
              <w:rPr>
                <w:rFonts w:ascii="宋体" w:hAnsi="宋体" w:cs="宋体"/>
                <w:kern w:val="0"/>
                <w:sz w:val="18"/>
                <w:szCs w:val="18"/>
              </w:rPr>
            </w:pPr>
            <w:r>
              <w:rPr>
                <w:rFonts w:hint="eastAsia" w:ascii="宋体" w:hAnsi="宋体" w:cs="宋体"/>
                <w:kern w:val="0"/>
                <w:sz w:val="18"/>
                <w:szCs w:val="18"/>
              </w:rPr>
              <w:t>检测评判项目</w:t>
            </w:r>
          </w:p>
        </w:tc>
        <w:tc>
          <w:tcPr>
            <w:tcW w:w="1812" w:type="dxa"/>
            <w:tcBorders>
              <w:top w:val="single" w:color="auto" w:sz="4" w:space="0"/>
              <w:left w:val="single" w:color="auto" w:sz="4" w:space="0"/>
              <w:bottom w:val="single" w:color="auto" w:sz="4" w:space="0"/>
              <w:right w:val="single" w:color="auto" w:sz="4" w:space="0"/>
            </w:tcBorders>
            <w:vAlign w:val="center"/>
          </w:tcPr>
          <w:p>
            <w:pPr>
              <w:widowControl/>
              <w:ind w:firstLine="360" w:firstLineChars="200"/>
              <w:jc w:val="left"/>
              <w:rPr>
                <w:rFonts w:ascii="宋体" w:hAnsi="宋体" w:cs="宋体"/>
                <w:kern w:val="0"/>
                <w:sz w:val="18"/>
                <w:szCs w:val="18"/>
              </w:rPr>
            </w:pPr>
            <w:r>
              <w:rPr>
                <w:rFonts w:hint="eastAsia" w:ascii="宋体" w:hAnsi="宋体" w:cs="宋体"/>
                <w:kern w:val="0"/>
                <w:sz w:val="18"/>
                <w:szCs w:val="18"/>
              </w:rPr>
              <w:t>评定结果</w:t>
            </w:r>
          </w:p>
        </w:tc>
        <w:tc>
          <w:tcPr>
            <w:tcW w:w="4000" w:type="dxa"/>
            <w:tcBorders>
              <w:top w:val="single" w:color="auto" w:sz="4" w:space="0"/>
              <w:left w:val="single" w:color="auto" w:sz="4" w:space="0"/>
              <w:bottom w:val="single" w:color="auto" w:sz="4" w:space="0"/>
              <w:right w:val="single" w:color="auto" w:sz="4" w:space="0"/>
            </w:tcBorders>
            <w:vAlign w:val="center"/>
          </w:tcPr>
          <w:p>
            <w:pPr>
              <w:widowControl/>
              <w:ind w:firstLine="1620" w:firstLineChars="900"/>
              <w:jc w:val="left"/>
              <w:rPr>
                <w:rFonts w:ascii="宋体" w:hAnsi="宋体" w:cs="宋体"/>
                <w:kern w:val="0"/>
                <w:sz w:val="18"/>
                <w:szCs w:val="18"/>
              </w:rPr>
            </w:pPr>
            <w:r>
              <w:rPr>
                <w:rFonts w:hint="eastAsia" w:ascii="宋体" w:hAnsi="宋体" w:cs="宋体"/>
                <w:kern w:val="0"/>
                <w:sz w:val="18"/>
                <w:szCs w:val="18"/>
              </w:rPr>
              <w:t>说明</w:t>
            </w:r>
          </w:p>
        </w:tc>
      </w:tr>
      <w:tr>
        <w:tblPrEx>
          <w:tblCellMar>
            <w:top w:w="0" w:type="dxa"/>
            <w:left w:w="108" w:type="dxa"/>
            <w:bottom w:w="0" w:type="dxa"/>
            <w:right w:w="108" w:type="dxa"/>
          </w:tblCellMar>
        </w:tblPrEx>
        <w:trPr>
          <w:trHeight w:val="750" w:hRule="atLeast"/>
          <w:jc w:val="center"/>
        </w:trPr>
        <w:tc>
          <w:tcPr>
            <w:tcW w:w="8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1 </w:t>
            </w:r>
          </w:p>
        </w:tc>
        <w:tc>
          <w:tcPr>
            <w:tcW w:w="122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通用要求</w:t>
            </w:r>
          </w:p>
        </w:tc>
        <w:tc>
          <w:tcPr>
            <w:tcW w:w="216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不按规定使用安全带</w:t>
            </w:r>
          </w:p>
        </w:tc>
        <w:tc>
          <w:tcPr>
            <w:tcW w:w="181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不合格</w:t>
            </w:r>
          </w:p>
        </w:tc>
        <w:tc>
          <w:tcPr>
            <w:tcW w:w="40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起步后车辆行驶距离超过15</w:t>
            </w:r>
            <w:r>
              <w:rPr>
                <w:rFonts w:hint="eastAsia" w:ascii="宋体" w:hAnsi="宋体" w:cs="宋体"/>
                <w:kern w:val="0"/>
              </w:rPr>
              <w:t xml:space="preserve"> </w:t>
            </w:r>
            <w:r>
              <w:rPr>
                <w:rFonts w:hint="eastAsia" w:ascii="宋体" w:hAnsi="宋体" w:cs="宋体"/>
                <w:kern w:val="0"/>
                <w:sz w:val="18"/>
                <w:szCs w:val="18"/>
              </w:rPr>
              <w:t>cm至考试结束期间未系或解开安全带</w:t>
            </w:r>
          </w:p>
        </w:tc>
      </w:tr>
      <w:tr>
        <w:tblPrEx>
          <w:tblCellMar>
            <w:top w:w="0" w:type="dxa"/>
            <w:left w:w="108" w:type="dxa"/>
            <w:bottom w:w="0" w:type="dxa"/>
            <w:right w:w="108" w:type="dxa"/>
          </w:tblCellMar>
        </w:tblPrEx>
        <w:trPr>
          <w:trHeight w:val="480" w:hRule="atLeast"/>
          <w:jc w:val="center"/>
        </w:trPr>
        <w:tc>
          <w:tcPr>
            <w:tcW w:w="8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2 </w:t>
            </w:r>
          </w:p>
        </w:tc>
        <w:tc>
          <w:tcPr>
            <w:tcW w:w="122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kern w:val="0"/>
                <w:sz w:val="18"/>
                <w:szCs w:val="18"/>
              </w:rPr>
            </w:pPr>
          </w:p>
        </w:tc>
        <w:tc>
          <w:tcPr>
            <w:tcW w:w="216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启动发动机时挡位未置于空挡</w:t>
            </w:r>
          </w:p>
        </w:tc>
        <w:tc>
          <w:tcPr>
            <w:tcW w:w="181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不合格</w:t>
            </w:r>
          </w:p>
        </w:tc>
        <w:tc>
          <w:tcPr>
            <w:tcW w:w="40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w:t>
            </w:r>
          </w:p>
        </w:tc>
      </w:tr>
      <w:tr>
        <w:tblPrEx>
          <w:tblCellMar>
            <w:top w:w="0" w:type="dxa"/>
            <w:left w:w="108" w:type="dxa"/>
            <w:bottom w:w="0" w:type="dxa"/>
            <w:right w:w="108" w:type="dxa"/>
          </w:tblCellMar>
        </w:tblPrEx>
        <w:trPr>
          <w:trHeight w:val="750" w:hRule="atLeast"/>
          <w:jc w:val="center"/>
        </w:trPr>
        <w:tc>
          <w:tcPr>
            <w:tcW w:w="8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3 </w:t>
            </w:r>
          </w:p>
        </w:tc>
        <w:tc>
          <w:tcPr>
            <w:tcW w:w="122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kern w:val="0"/>
                <w:sz w:val="18"/>
                <w:szCs w:val="18"/>
              </w:rPr>
            </w:pPr>
          </w:p>
        </w:tc>
        <w:tc>
          <w:tcPr>
            <w:tcW w:w="216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起步时未完全关闭车门</w:t>
            </w:r>
          </w:p>
        </w:tc>
        <w:tc>
          <w:tcPr>
            <w:tcW w:w="181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不合格</w:t>
            </w:r>
          </w:p>
        </w:tc>
        <w:tc>
          <w:tcPr>
            <w:tcW w:w="40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起步后车辆行驶距离超过15</w:t>
            </w:r>
            <w:r>
              <w:rPr>
                <w:rFonts w:hint="eastAsia" w:ascii="宋体" w:hAnsi="宋体" w:cs="宋体"/>
                <w:kern w:val="0"/>
              </w:rPr>
              <w:t xml:space="preserve"> </w:t>
            </w:r>
            <w:r>
              <w:rPr>
                <w:rFonts w:hint="eastAsia" w:ascii="宋体" w:hAnsi="宋体" w:cs="宋体"/>
                <w:kern w:val="0"/>
                <w:sz w:val="18"/>
                <w:szCs w:val="18"/>
              </w:rPr>
              <w:t>cm至考试结束期间未关闭或打开车门</w:t>
            </w:r>
          </w:p>
        </w:tc>
      </w:tr>
      <w:tr>
        <w:tblPrEx>
          <w:tblCellMar>
            <w:top w:w="0" w:type="dxa"/>
            <w:left w:w="108" w:type="dxa"/>
            <w:bottom w:w="0" w:type="dxa"/>
            <w:right w:w="108" w:type="dxa"/>
          </w:tblCellMar>
        </w:tblPrEx>
        <w:trPr>
          <w:trHeight w:val="520" w:hRule="atLeast"/>
          <w:jc w:val="center"/>
        </w:trPr>
        <w:tc>
          <w:tcPr>
            <w:tcW w:w="8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4 </w:t>
            </w:r>
          </w:p>
        </w:tc>
        <w:tc>
          <w:tcPr>
            <w:tcW w:w="122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kern w:val="0"/>
                <w:sz w:val="18"/>
                <w:szCs w:val="18"/>
              </w:rPr>
            </w:pPr>
          </w:p>
        </w:tc>
        <w:tc>
          <w:tcPr>
            <w:tcW w:w="216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发动机启动后，不及时松开启动开关</w:t>
            </w:r>
            <w:r>
              <w:rPr>
                <w:rFonts w:hint="eastAsia" w:ascii="宋体" w:hAnsi="宋体" w:cs="宋体"/>
                <w:kern w:val="0"/>
                <w:sz w:val="18"/>
                <w:szCs w:val="18"/>
                <w:vertAlign w:val="superscript"/>
              </w:rPr>
              <w:t>c</w:t>
            </w:r>
          </w:p>
        </w:tc>
        <w:tc>
          <w:tcPr>
            <w:tcW w:w="181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每次扣10分</w:t>
            </w:r>
          </w:p>
        </w:tc>
        <w:tc>
          <w:tcPr>
            <w:tcW w:w="40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发动机启动后，2</w:t>
            </w:r>
            <w:r>
              <w:rPr>
                <w:rFonts w:hint="eastAsia" w:ascii="宋体" w:hAnsi="宋体" w:cs="宋体"/>
                <w:kern w:val="0"/>
              </w:rPr>
              <w:t xml:space="preserve"> </w:t>
            </w:r>
            <w:r>
              <w:rPr>
                <w:rFonts w:hint="eastAsia" w:ascii="宋体" w:hAnsi="宋体" w:cs="宋体"/>
                <w:kern w:val="0"/>
                <w:sz w:val="18"/>
                <w:szCs w:val="18"/>
              </w:rPr>
              <w:t>s内未松开启动开关</w:t>
            </w:r>
          </w:p>
        </w:tc>
      </w:tr>
      <w:tr>
        <w:tblPrEx>
          <w:tblCellMar>
            <w:top w:w="0" w:type="dxa"/>
            <w:left w:w="108" w:type="dxa"/>
            <w:bottom w:w="0" w:type="dxa"/>
            <w:right w:w="108" w:type="dxa"/>
          </w:tblCellMar>
        </w:tblPrEx>
        <w:trPr>
          <w:trHeight w:val="520" w:hRule="atLeast"/>
          <w:jc w:val="center"/>
        </w:trPr>
        <w:tc>
          <w:tcPr>
            <w:tcW w:w="8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5 </w:t>
            </w:r>
          </w:p>
        </w:tc>
        <w:tc>
          <w:tcPr>
            <w:tcW w:w="122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kern w:val="0"/>
                <w:sz w:val="18"/>
                <w:szCs w:val="18"/>
              </w:rPr>
            </w:pPr>
          </w:p>
        </w:tc>
        <w:tc>
          <w:tcPr>
            <w:tcW w:w="216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因操作不当造成发动机熄火一次</w:t>
            </w:r>
            <w:r>
              <w:rPr>
                <w:rFonts w:hint="eastAsia" w:ascii="宋体" w:hAnsi="宋体" w:cs="宋体"/>
                <w:kern w:val="0"/>
                <w:sz w:val="18"/>
                <w:szCs w:val="18"/>
                <w:vertAlign w:val="superscript"/>
              </w:rPr>
              <w:t>d</w:t>
            </w:r>
          </w:p>
        </w:tc>
        <w:tc>
          <w:tcPr>
            <w:tcW w:w="181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每次扣10分</w:t>
            </w:r>
          </w:p>
        </w:tc>
        <w:tc>
          <w:tcPr>
            <w:tcW w:w="40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w:t>
            </w:r>
          </w:p>
        </w:tc>
      </w:tr>
      <w:tr>
        <w:tblPrEx>
          <w:tblCellMar>
            <w:top w:w="0" w:type="dxa"/>
            <w:left w:w="108" w:type="dxa"/>
            <w:bottom w:w="0" w:type="dxa"/>
            <w:right w:w="108" w:type="dxa"/>
          </w:tblCellMar>
        </w:tblPrEx>
        <w:trPr>
          <w:trHeight w:val="480" w:hRule="atLeast"/>
          <w:jc w:val="center"/>
        </w:trPr>
        <w:tc>
          <w:tcPr>
            <w:tcW w:w="8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6 </w:t>
            </w:r>
          </w:p>
        </w:tc>
        <w:tc>
          <w:tcPr>
            <w:tcW w:w="122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倒车入库</w:t>
            </w:r>
          </w:p>
        </w:tc>
        <w:tc>
          <w:tcPr>
            <w:tcW w:w="216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不按规定路线、顺序行驶</w:t>
            </w:r>
          </w:p>
        </w:tc>
        <w:tc>
          <w:tcPr>
            <w:tcW w:w="181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不合格</w:t>
            </w:r>
          </w:p>
        </w:tc>
        <w:tc>
          <w:tcPr>
            <w:tcW w:w="40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未按GA 1026规定的运行路线行驶</w:t>
            </w:r>
          </w:p>
        </w:tc>
      </w:tr>
      <w:tr>
        <w:tblPrEx>
          <w:tblCellMar>
            <w:top w:w="0" w:type="dxa"/>
            <w:left w:w="108" w:type="dxa"/>
            <w:bottom w:w="0" w:type="dxa"/>
            <w:right w:w="108" w:type="dxa"/>
          </w:tblCellMar>
        </w:tblPrEx>
        <w:trPr>
          <w:trHeight w:val="480" w:hRule="atLeast"/>
          <w:jc w:val="center"/>
        </w:trPr>
        <w:tc>
          <w:tcPr>
            <w:tcW w:w="8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7 </w:t>
            </w:r>
          </w:p>
        </w:tc>
        <w:tc>
          <w:tcPr>
            <w:tcW w:w="122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kern w:val="0"/>
                <w:sz w:val="18"/>
                <w:szCs w:val="18"/>
              </w:rPr>
            </w:pPr>
          </w:p>
        </w:tc>
        <w:tc>
          <w:tcPr>
            <w:tcW w:w="216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车身出线</w:t>
            </w:r>
          </w:p>
        </w:tc>
        <w:tc>
          <w:tcPr>
            <w:tcW w:w="181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不合格</w:t>
            </w:r>
          </w:p>
        </w:tc>
        <w:tc>
          <w:tcPr>
            <w:tcW w:w="40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行驶中，车身任意点出库位边线内侧或道路边缘线内侧</w:t>
            </w:r>
          </w:p>
        </w:tc>
      </w:tr>
      <w:tr>
        <w:tblPrEx>
          <w:tblCellMar>
            <w:top w:w="0" w:type="dxa"/>
            <w:left w:w="108" w:type="dxa"/>
            <w:bottom w:w="0" w:type="dxa"/>
            <w:right w:w="108" w:type="dxa"/>
          </w:tblCellMar>
        </w:tblPrEx>
        <w:trPr>
          <w:trHeight w:val="480" w:hRule="atLeast"/>
          <w:jc w:val="center"/>
        </w:trPr>
        <w:tc>
          <w:tcPr>
            <w:tcW w:w="8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8 </w:t>
            </w:r>
          </w:p>
        </w:tc>
        <w:tc>
          <w:tcPr>
            <w:tcW w:w="122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kern w:val="0"/>
                <w:sz w:val="18"/>
                <w:szCs w:val="18"/>
              </w:rPr>
            </w:pPr>
          </w:p>
        </w:tc>
        <w:tc>
          <w:tcPr>
            <w:tcW w:w="216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倒库不入</w:t>
            </w:r>
          </w:p>
        </w:tc>
        <w:tc>
          <w:tcPr>
            <w:tcW w:w="181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不合格</w:t>
            </w:r>
          </w:p>
        </w:tc>
        <w:tc>
          <w:tcPr>
            <w:tcW w:w="40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入库停止后，车身任意点出库位控制线外侧</w:t>
            </w:r>
          </w:p>
        </w:tc>
      </w:tr>
      <w:tr>
        <w:tblPrEx>
          <w:tblCellMar>
            <w:top w:w="0" w:type="dxa"/>
            <w:left w:w="108" w:type="dxa"/>
            <w:bottom w:w="0" w:type="dxa"/>
            <w:right w:w="108" w:type="dxa"/>
          </w:tblCellMar>
        </w:tblPrEx>
        <w:trPr>
          <w:trHeight w:val="720" w:hRule="atLeast"/>
          <w:jc w:val="center"/>
        </w:trPr>
        <w:tc>
          <w:tcPr>
            <w:tcW w:w="8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9 </w:t>
            </w:r>
          </w:p>
        </w:tc>
        <w:tc>
          <w:tcPr>
            <w:tcW w:w="122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kern w:val="0"/>
                <w:sz w:val="18"/>
                <w:szCs w:val="18"/>
              </w:rPr>
            </w:pPr>
          </w:p>
        </w:tc>
        <w:tc>
          <w:tcPr>
            <w:tcW w:w="216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在倒车前，未将两个前轮触地点均驶过控制线</w:t>
            </w:r>
          </w:p>
        </w:tc>
        <w:tc>
          <w:tcPr>
            <w:tcW w:w="181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不合格</w:t>
            </w:r>
          </w:p>
        </w:tc>
        <w:tc>
          <w:tcPr>
            <w:tcW w:w="40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倒车时，车轮触地点未驶过控制线内侧</w:t>
            </w:r>
          </w:p>
        </w:tc>
      </w:tr>
      <w:tr>
        <w:tblPrEx>
          <w:tblCellMar>
            <w:top w:w="0" w:type="dxa"/>
            <w:left w:w="108" w:type="dxa"/>
            <w:bottom w:w="0" w:type="dxa"/>
            <w:right w:w="108" w:type="dxa"/>
          </w:tblCellMar>
        </w:tblPrEx>
        <w:trPr>
          <w:trHeight w:val="720" w:hRule="atLeast"/>
          <w:jc w:val="center"/>
        </w:trPr>
        <w:tc>
          <w:tcPr>
            <w:tcW w:w="8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10 </w:t>
            </w:r>
          </w:p>
        </w:tc>
        <w:tc>
          <w:tcPr>
            <w:tcW w:w="122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kern w:val="0"/>
                <w:sz w:val="18"/>
                <w:szCs w:val="18"/>
              </w:rPr>
            </w:pPr>
          </w:p>
        </w:tc>
        <w:tc>
          <w:tcPr>
            <w:tcW w:w="216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项目完成时间超过210 s</w:t>
            </w:r>
          </w:p>
        </w:tc>
        <w:tc>
          <w:tcPr>
            <w:tcW w:w="181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不合格</w:t>
            </w:r>
          </w:p>
        </w:tc>
        <w:tc>
          <w:tcPr>
            <w:tcW w:w="40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从倒车开始至回到起点线且两个前轮触地点均驶过控制线内侧</w:t>
            </w:r>
          </w:p>
        </w:tc>
      </w:tr>
      <w:tr>
        <w:tblPrEx>
          <w:tblCellMar>
            <w:top w:w="0" w:type="dxa"/>
            <w:left w:w="108" w:type="dxa"/>
            <w:bottom w:w="0" w:type="dxa"/>
            <w:right w:w="108" w:type="dxa"/>
          </w:tblCellMar>
        </w:tblPrEx>
        <w:trPr>
          <w:trHeight w:val="280" w:hRule="atLeast"/>
          <w:jc w:val="center"/>
        </w:trPr>
        <w:tc>
          <w:tcPr>
            <w:tcW w:w="8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11 </w:t>
            </w:r>
          </w:p>
        </w:tc>
        <w:tc>
          <w:tcPr>
            <w:tcW w:w="122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kern w:val="0"/>
                <w:sz w:val="18"/>
                <w:szCs w:val="18"/>
              </w:rPr>
            </w:pPr>
          </w:p>
        </w:tc>
        <w:tc>
          <w:tcPr>
            <w:tcW w:w="216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中途停车</w:t>
            </w:r>
          </w:p>
        </w:tc>
        <w:tc>
          <w:tcPr>
            <w:tcW w:w="181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每次扣5分</w:t>
            </w:r>
          </w:p>
        </w:tc>
        <w:tc>
          <w:tcPr>
            <w:tcW w:w="40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进退途中停车时间超过2</w:t>
            </w:r>
            <w:r>
              <w:rPr>
                <w:rFonts w:hint="eastAsia" w:ascii="宋体" w:hAnsi="宋体" w:cs="宋体"/>
                <w:kern w:val="0"/>
              </w:rPr>
              <w:t xml:space="preserve"> </w:t>
            </w:r>
            <w:r>
              <w:rPr>
                <w:rFonts w:hint="eastAsia" w:ascii="宋体" w:hAnsi="宋体" w:cs="宋体"/>
                <w:kern w:val="0"/>
                <w:sz w:val="18"/>
                <w:szCs w:val="18"/>
              </w:rPr>
              <w:t>s</w:t>
            </w:r>
          </w:p>
        </w:tc>
      </w:tr>
      <w:tr>
        <w:tblPrEx>
          <w:tblCellMar>
            <w:top w:w="0" w:type="dxa"/>
            <w:left w:w="108" w:type="dxa"/>
            <w:bottom w:w="0" w:type="dxa"/>
            <w:right w:w="108" w:type="dxa"/>
          </w:tblCellMar>
        </w:tblPrEx>
        <w:trPr>
          <w:trHeight w:val="480" w:hRule="atLeast"/>
          <w:jc w:val="center"/>
        </w:trPr>
        <w:tc>
          <w:tcPr>
            <w:tcW w:w="8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12 </w:t>
            </w:r>
          </w:p>
        </w:tc>
        <w:tc>
          <w:tcPr>
            <w:tcW w:w="1220"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坡道定点停车和起步</w:t>
            </w:r>
          </w:p>
        </w:tc>
        <w:tc>
          <w:tcPr>
            <w:tcW w:w="216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不按考试员指令驾驶</w:t>
            </w:r>
          </w:p>
        </w:tc>
        <w:tc>
          <w:tcPr>
            <w:tcW w:w="181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不合格</w:t>
            </w:r>
          </w:p>
        </w:tc>
        <w:tc>
          <w:tcPr>
            <w:tcW w:w="40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车辆尾部驶过上控制线前未停车</w:t>
            </w:r>
          </w:p>
        </w:tc>
      </w:tr>
      <w:tr>
        <w:tblPrEx>
          <w:tblCellMar>
            <w:top w:w="0" w:type="dxa"/>
            <w:left w:w="108" w:type="dxa"/>
            <w:bottom w:w="0" w:type="dxa"/>
            <w:right w:w="108" w:type="dxa"/>
          </w:tblCellMar>
        </w:tblPrEx>
        <w:trPr>
          <w:trHeight w:val="960" w:hRule="atLeast"/>
          <w:jc w:val="center"/>
        </w:trPr>
        <w:tc>
          <w:tcPr>
            <w:tcW w:w="8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13 </w:t>
            </w:r>
          </w:p>
        </w:tc>
        <w:tc>
          <w:tcPr>
            <w:tcW w:w="122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kern w:val="0"/>
                <w:sz w:val="18"/>
                <w:szCs w:val="18"/>
              </w:rPr>
            </w:pPr>
          </w:p>
        </w:tc>
        <w:tc>
          <w:tcPr>
            <w:tcW w:w="216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车辆停止后，汽车前保险杠未定于桩杆线上，且前后超出50 cm</w:t>
            </w:r>
          </w:p>
        </w:tc>
        <w:tc>
          <w:tcPr>
            <w:tcW w:w="181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不合格</w:t>
            </w:r>
          </w:p>
        </w:tc>
        <w:tc>
          <w:tcPr>
            <w:tcW w:w="40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车辆前保险杠驶过上控制线下边缘或未驶过下控制线上边缘</w:t>
            </w:r>
          </w:p>
        </w:tc>
      </w:tr>
      <w:tr>
        <w:tblPrEx>
          <w:tblCellMar>
            <w:top w:w="0" w:type="dxa"/>
            <w:left w:w="108" w:type="dxa"/>
            <w:bottom w:w="0" w:type="dxa"/>
            <w:right w:w="108" w:type="dxa"/>
          </w:tblCellMar>
        </w:tblPrEx>
        <w:trPr>
          <w:trHeight w:val="480" w:hRule="atLeast"/>
          <w:jc w:val="center"/>
        </w:trPr>
        <w:tc>
          <w:tcPr>
            <w:tcW w:w="8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14 </w:t>
            </w:r>
          </w:p>
        </w:tc>
        <w:tc>
          <w:tcPr>
            <w:tcW w:w="122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kern w:val="0"/>
                <w:sz w:val="18"/>
                <w:szCs w:val="18"/>
              </w:rPr>
            </w:pPr>
          </w:p>
        </w:tc>
        <w:tc>
          <w:tcPr>
            <w:tcW w:w="216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车辆行驶中车轮轧道路边缘线</w:t>
            </w:r>
          </w:p>
        </w:tc>
        <w:tc>
          <w:tcPr>
            <w:tcW w:w="181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不合格</w:t>
            </w:r>
          </w:p>
        </w:tc>
        <w:tc>
          <w:tcPr>
            <w:tcW w:w="40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w:t>
            </w:r>
          </w:p>
        </w:tc>
      </w:tr>
      <w:tr>
        <w:tblPrEx>
          <w:tblCellMar>
            <w:top w:w="0" w:type="dxa"/>
            <w:left w:w="108" w:type="dxa"/>
            <w:bottom w:w="0" w:type="dxa"/>
            <w:right w:w="108" w:type="dxa"/>
          </w:tblCellMar>
        </w:tblPrEx>
        <w:trPr>
          <w:trHeight w:val="720" w:hRule="atLeast"/>
          <w:jc w:val="center"/>
        </w:trPr>
        <w:tc>
          <w:tcPr>
            <w:tcW w:w="8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15 </w:t>
            </w:r>
          </w:p>
        </w:tc>
        <w:tc>
          <w:tcPr>
            <w:tcW w:w="122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kern w:val="0"/>
                <w:sz w:val="18"/>
                <w:szCs w:val="18"/>
              </w:rPr>
            </w:pPr>
          </w:p>
        </w:tc>
        <w:tc>
          <w:tcPr>
            <w:tcW w:w="216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车辆停止后，车身距离路边缘线超出50 cm</w:t>
            </w:r>
          </w:p>
        </w:tc>
        <w:tc>
          <w:tcPr>
            <w:tcW w:w="181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不合格</w:t>
            </w:r>
          </w:p>
        </w:tc>
        <w:tc>
          <w:tcPr>
            <w:tcW w:w="40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车辆右侧前轮、后轮位置的车身与道路边缘线内侧的最大距离</w:t>
            </w:r>
          </w:p>
        </w:tc>
      </w:tr>
      <w:tr>
        <w:tblPrEx>
          <w:tblCellMar>
            <w:top w:w="0" w:type="dxa"/>
            <w:left w:w="108" w:type="dxa"/>
            <w:bottom w:w="0" w:type="dxa"/>
            <w:right w:w="108" w:type="dxa"/>
          </w:tblCellMar>
        </w:tblPrEx>
        <w:trPr>
          <w:trHeight w:val="480" w:hRule="atLeast"/>
          <w:jc w:val="center"/>
        </w:trPr>
        <w:tc>
          <w:tcPr>
            <w:tcW w:w="8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16 </w:t>
            </w:r>
          </w:p>
        </w:tc>
        <w:tc>
          <w:tcPr>
            <w:tcW w:w="122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kern w:val="0"/>
                <w:sz w:val="18"/>
                <w:szCs w:val="18"/>
              </w:rPr>
            </w:pPr>
          </w:p>
        </w:tc>
        <w:tc>
          <w:tcPr>
            <w:tcW w:w="216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车辆停止后，起步时间超过30 s</w:t>
            </w:r>
          </w:p>
        </w:tc>
        <w:tc>
          <w:tcPr>
            <w:tcW w:w="181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不合格</w:t>
            </w:r>
          </w:p>
        </w:tc>
        <w:tc>
          <w:tcPr>
            <w:tcW w:w="40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从车辆停车开始至向前移动</w:t>
            </w:r>
          </w:p>
        </w:tc>
      </w:tr>
      <w:tr>
        <w:tblPrEx>
          <w:tblCellMar>
            <w:top w:w="0" w:type="dxa"/>
            <w:left w:w="108" w:type="dxa"/>
            <w:bottom w:w="0" w:type="dxa"/>
            <w:right w:w="108" w:type="dxa"/>
          </w:tblCellMar>
        </w:tblPrEx>
        <w:trPr>
          <w:trHeight w:val="510" w:hRule="atLeast"/>
          <w:jc w:val="center"/>
        </w:trPr>
        <w:tc>
          <w:tcPr>
            <w:tcW w:w="8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17 </w:t>
            </w:r>
          </w:p>
        </w:tc>
        <w:tc>
          <w:tcPr>
            <w:tcW w:w="122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kern w:val="0"/>
                <w:sz w:val="18"/>
                <w:szCs w:val="18"/>
              </w:rPr>
            </w:pPr>
          </w:p>
        </w:tc>
        <w:tc>
          <w:tcPr>
            <w:tcW w:w="216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起步时车辆后溜距离大于30 cm</w:t>
            </w:r>
          </w:p>
        </w:tc>
        <w:tc>
          <w:tcPr>
            <w:tcW w:w="181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不合格</w:t>
            </w:r>
          </w:p>
        </w:tc>
        <w:tc>
          <w:tcPr>
            <w:tcW w:w="40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停车后累计后溜距离大于30</w:t>
            </w:r>
            <w:r>
              <w:rPr>
                <w:rFonts w:hint="eastAsia" w:ascii="宋体" w:hAnsi="宋体" w:cs="宋体"/>
                <w:kern w:val="0"/>
              </w:rPr>
              <w:t xml:space="preserve"> </w:t>
            </w:r>
            <w:r>
              <w:rPr>
                <w:rFonts w:hint="eastAsia" w:ascii="宋体" w:hAnsi="宋体" w:cs="宋体"/>
                <w:kern w:val="0"/>
                <w:sz w:val="18"/>
                <w:szCs w:val="18"/>
              </w:rPr>
              <w:t>cm</w:t>
            </w:r>
          </w:p>
        </w:tc>
      </w:tr>
      <w:tr>
        <w:tblPrEx>
          <w:tblCellMar>
            <w:top w:w="0" w:type="dxa"/>
            <w:left w:w="108" w:type="dxa"/>
            <w:bottom w:w="0" w:type="dxa"/>
            <w:right w:w="108" w:type="dxa"/>
          </w:tblCellMar>
        </w:tblPrEx>
        <w:trPr>
          <w:trHeight w:val="960" w:hRule="atLeast"/>
          <w:jc w:val="center"/>
        </w:trPr>
        <w:tc>
          <w:tcPr>
            <w:tcW w:w="8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18 </w:t>
            </w:r>
          </w:p>
        </w:tc>
        <w:tc>
          <w:tcPr>
            <w:tcW w:w="122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kern w:val="0"/>
                <w:sz w:val="18"/>
                <w:szCs w:val="18"/>
              </w:rPr>
            </w:pPr>
          </w:p>
        </w:tc>
        <w:tc>
          <w:tcPr>
            <w:tcW w:w="216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车辆停止后，汽车前保险杠未定于桩杆线上，且前后不超出50 cm</w:t>
            </w:r>
          </w:p>
        </w:tc>
        <w:tc>
          <w:tcPr>
            <w:tcW w:w="181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扣10分</w:t>
            </w:r>
          </w:p>
        </w:tc>
        <w:tc>
          <w:tcPr>
            <w:tcW w:w="40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车辆前保险杠位于停车桩杆线与控制线之间</w:t>
            </w:r>
          </w:p>
        </w:tc>
      </w:tr>
      <w:tr>
        <w:tblPrEx>
          <w:tblCellMar>
            <w:top w:w="0" w:type="dxa"/>
            <w:left w:w="108" w:type="dxa"/>
            <w:bottom w:w="0" w:type="dxa"/>
            <w:right w:w="108" w:type="dxa"/>
          </w:tblCellMar>
        </w:tblPrEx>
        <w:trPr>
          <w:trHeight w:val="720" w:hRule="atLeast"/>
          <w:jc w:val="center"/>
        </w:trPr>
        <w:tc>
          <w:tcPr>
            <w:tcW w:w="8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19 </w:t>
            </w:r>
          </w:p>
        </w:tc>
        <w:tc>
          <w:tcPr>
            <w:tcW w:w="122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kern w:val="0"/>
                <w:sz w:val="18"/>
                <w:szCs w:val="18"/>
              </w:rPr>
            </w:pPr>
          </w:p>
        </w:tc>
        <w:tc>
          <w:tcPr>
            <w:tcW w:w="216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车辆停止后，车身距离路边缘线超出30 cm，未超出50 cm</w:t>
            </w:r>
          </w:p>
        </w:tc>
        <w:tc>
          <w:tcPr>
            <w:tcW w:w="181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扣10分</w:t>
            </w:r>
          </w:p>
        </w:tc>
        <w:tc>
          <w:tcPr>
            <w:tcW w:w="40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车辆右侧前轮、后轮位置的车身与道路边缘线内侧的最大距离</w:t>
            </w:r>
          </w:p>
        </w:tc>
      </w:tr>
      <w:tr>
        <w:tblPrEx>
          <w:tblCellMar>
            <w:top w:w="0" w:type="dxa"/>
            <w:left w:w="108" w:type="dxa"/>
            <w:bottom w:w="0" w:type="dxa"/>
            <w:right w:w="108" w:type="dxa"/>
          </w:tblCellMar>
        </w:tblPrEx>
        <w:trPr>
          <w:trHeight w:val="480" w:hRule="atLeast"/>
          <w:jc w:val="center"/>
        </w:trPr>
        <w:tc>
          <w:tcPr>
            <w:tcW w:w="8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20 </w:t>
            </w:r>
          </w:p>
        </w:tc>
        <w:tc>
          <w:tcPr>
            <w:tcW w:w="122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kern w:val="0"/>
                <w:sz w:val="18"/>
                <w:szCs w:val="18"/>
              </w:rPr>
            </w:pPr>
          </w:p>
        </w:tc>
        <w:tc>
          <w:tcPr>
            <w:tcW w:w="216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停车后，未拉紧驻车制动器</w:t>
            </w:r>
          </w:p>
        </w:tc>
        <w:tc>
          <w:tcPr>
            <w:tcW w:w="181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扣10分</w:t>
            </w:r>
          </w:p>
        </w:tc>
        <w:tc>
          <w:tcPr>
            <w:tcW w:w="40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停车后至起步前，未拉起过驻车制动器</w:t>
            </w:r>
          </w:p>
        </w:tc>
      </w:tr>
      <w:tr>
        <w:tblPrEx>
          <w:tblCellMar>
            <w:top w:w="0" w:type="dxa"/>
            <w:left w:w="108" w:type="dxa"/>
            <w:bottom w:w="0" w:type="dxa"/>
            <w:right w:w="108" w:type="dxa"/>
          </w:tblCellMar>
        </w:tblPrEx>
        <w:trPr>
          <w:trHeight w:val="540" w:hRule="atLeast"/>
          <w:jc w:val="center"/>
        </w:trPr>
        <w:tc>
          <w:tcPr>
            <w:tcW w:w="8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21 </w:t>
            </w:r>
          </w:p>
        </w:tc>
        <w:tc>
          <w:tcPr>
            <w:tcW w:w="122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kern w:val="0"/>
                <w:sz w:val="18"/>
                <w:szCs w:val="18"/>
              </w:rPr>
            </w:pPr>
          </w:p>
        </w:tc>
        <w:tc>
          <w:tcPr>
            <w:tcW w:w="216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起步时车辆后溜距离小于或等于30cm</w:t>
            </w:r>
          </w:p>
        </w:tc>
        <w:tc>
          <w:tcPr>
            <w:tcW w:w="181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扣10分</w:t>
            </w:r>
          </w:p>
        </w:tc>
        <w:tc>
          <w:tcPr>
            <w:tcW w:w="40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停车后累计后溜距离10</w:t>
            </w:r>
            <w:r>
              <w:rPr>
                <w:rFonts w:hint="eastAsia" w:ascii="宋体" w:hAnsi="宋体" w:cs="宋体"/>
                <w:kern w:val="0"/>
              </w:rPr>
              <w:t xml:space="preserve"> </w:t>
            </w:r>
            <w:r>
              <w:rPr>
                <w:rFonts w:hint="eastAsia" w:ascii="宋体" w:hAnsi="宋体" w:cs="宋体"/>
                <w:kern w:val="0"/>
                <w:sz w:val="18"/>
                <w:szCs w:val="18"/>
              </w:rPr>
              <w:t>cm～30</w:t>
            </w:r>
            <w:r>
              <w:rPr>
                <w:rFonts w:hint="eastAsia" w:ascii="宋体" w:hAnsi="宋体" w:cs="宋体"/>
                <w:kern w:val="0"/>
              </w:rPr>
              <w:t xml:space="preserve"> </w:t>
            </w:r>
            <w:r>
              <w:rPr>
                <w:rFonts w:hint="eastAsia" w:ascii="宋体" w:hAnsi="宋体" w:cs="宋体"/>
                <w:kern w:val="0"/>
                <w:sz w:val="18"/>
                <w:szCs w:val="18"/>
              </w:rPr>
              <w:t>cm</w:t>
            </w:r>
          </w:p>
        </w:tc>
      </w:tr>
      <w:tr>
        <w:tblPrEx>
          <w:tblCellMar>
            <w:top w:w="0" w:type="dxa"/>
            <w:left w:w="108" w:type="dxa"/>
            <w:bottom w:w="0" w:type="dxa"/>
            <w:right w:w="108" w:type="dxa"/>
          </w:tblCellMar>
        </w:tblPrEx>
        <w:trPr>
          <w:trHeight w:val="480" w:hRule="atLeast"/>
          <w:jc w:val="center"/>
        </w:trPr>
        <w:tc>
          <w:tcPr>
            <w:tcW w:w="8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22 </w:t>
            </w:r>
          </w:p>
        </w:tc>
        <w:tc>
          <w:tcPr>
            <w:tcW w:w="122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侧方停车</w:t>
            </w:r>
          </w:p>
        </w:tc>
        <w:tc>
          <w:tcPr>
            <w:tcW w:w="216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不按规定路线、顺序行驶</w:t>
            </w:r>
          </w:p>
        </w:tc>
        <w:tc>
          <w:tcPr>
            <w:tcW w:w="181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不合格</w:t>
            </w:r>
          </w:p>
        </w:tc>
        <w:tc>
          <w:tcPr>
            <w:tcW w:w="40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未按GA 1026规定的运行路线行驶</w:t>
            </w:r>
          </w:p>
        </w:tc>
      </w:tr>
      <w:tr>
        <w:tblPrEx>
          <w:tblCellMar>
            <w:top w:w="0" w:type="dxa"/>
            <w:left w:w="108" w:type="dxa"/>
            <w:bottom w:w="0" w:type="dxa"/>
            <w:right w:w="108" w:type="dxa"/>
          </w:tblCellMar>
        </w:tblPrEx>
        <w:trPr>
          <w:trHeight w:val="720" w:hRule="atLeast"/>
          <w:jc w:val="center"/>
        </w:trPr>
        <w:tc>
          <w:tcPr>
            <w:tcW w:w="8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23 </w:t>
            </w:r>
          </w:p>
        </w:tc>
        <w:tc>
          <w:tcPr>
            <w:tcW w:w="122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kern w:val="0"/>
                <w:sz w:val="18"/>
                <w:szCs w:val="18"/>
              </w:rPr>
            </w:pPr>
          </w:p>
        </w:tc>
        <w:tc>
          <w:tcPr>
            <w:tcW w:w="216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车辆入库停止后，车身出线</w:t>
            </w:r>
          </w:p>
        </w:tc>
        <w:tc>
          <w:tcPr>
            <w:tcW w:w="181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不合格</w:t>
            </w:r>
          </w:p>
        </w:tc>
        <w:tc>
          <w:tcPr>
            <w:tcW w:w="40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车身任意点出后库位边线；入库停车后，车身任意点出库位边线内侧或控制线外侧</w:t>
            </w:r>
          </w:p>
        </w:tc>
      </w:tr>
      <w:tr>
        <w:tblPrEx>
          <w:tblCellMar>
            <w:top w:w="0" w:type="dxa"/>
            <w:left w:w="108" w:type="dxa"/>
            <w:bottom w:w="0" w:type="dxa"/>
            <w:right w:w="108" w:type="dxa"/>
          </w:tblCellMar>
        </w:tblPrEx>
        <w:trPr>
          <w:trHeight w:val="480" w:hRule="atLeast"/>
          <w:jc w:val="center"/>
        </w:trPr>
        <w:tc>
          <w:tcPr>
            <w:tcW w:w="8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24 </w:t>
            </w:r>
          </w:p>
        </w:tc>
        <w:tc>
          <w:tcPr>
            <w:tcW w:w="122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kern w:val="0"/>
                <w:sz w:val="18"/>
                <w:szCs w:val="18"/>
              </w:rPr>
            </w:pPr>
          </w:p>
        </w:tc>
        <w:tc>
          <w:tcPr>
            <w:tcW w:w="216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项目完成时间超过90 s</w:t>
            </w:r>
          </w:p>
        </w:tc>
        <w:tc>
          <w:tcPr>
            <w:tcW w:w="181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不合格</w:t>
            </w:r>
          </w:p>
        </w:tc>
        <w:tc>
          <w:tcPr>
            <w:tcW w:w="40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从倒车开始至车辆出库后车尾驶过前库位边线位置</w:t>
            </w:r>
          </w:p>
        </w:tc>
      </w:tr>
      <w:tr>
        <w:tblPrEx>
          <w:tblCellMar>
            <w:top w:w="0" w:type="dxa"/>
            <w:left w:w="108" w:type="dxa"/>
            <w:bottom w:w="0" w:type="dxa"/>
            <w:right w:w="108" w:type="dxa"/>
          </w:tblCellMar>
        </w:tblPrEx>
        <w:trPr>
          <w:trHeight w:val="480" w:hRule="atLeast"/>
          <w:jc w:val="center"/>
        </w:trPr>
        <w:tc>
          <w:tcPr>
            <w:tcW w:w="8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25 </w:t>
            </w:r>
          </w:p>
        </w:tc>
        <w:tc>
          <w:tcPr>
            <w:tcW w:w="122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kern w:val="0"/>
                <w:sz w:val="18"/>
                <w:szCs w:val="18"/>
              </w:rPr>
            </w:pPr>
          </w:p>
        </w:tc>
        <w:tc>
          <w:tcPr>
            <w:tcW w:w="216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行驶中车轮触轧车道边缘线</w:t>
            </w:r>
          </w:p>
        </w:tc>
        <w:tc>
          <w:tcPr>
            <w:tcW w:w="181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每次扣10分</w:t>
            </w:r>
          </w:p>
        </w:tc>
        <w:tc>
          <w:tcPr>
            <w:tcW w:w="40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w:t>
            </w:r>
          </w:p>
        </w:tc>
      </w:tr>
      <w:tr>
        <w:tblPrEx>
          <w:tblCellMar>
            <w:top w:w="0" w:type="dxa"/>
            <w:left w:w="108" w:type="dxa"/>
            <w:bottom w:w="0" w:type="dxa"/>
            <w:right w:w="108" w:type="dxa"/>
          </w:tblCellMar>
        </w:tblPrEx>
        <w:trPr>
          <w:trHeight w:val="480" w:hRule="atLeast"/>
          <w:jc w:val="center"/>
        </w:trPr>
        <w:tc>
          <w:tcPr>
            <w:tcW w:w="8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26 </w:t>
            </w:r>
          </w:p>
        </w:tc>
        <w:tc>
          <w:tcPr>
            <w:tcW w:w="122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kern w:val="0"/>
                <w:sz w:val="18"/>
                <w:szCs w:val="18"/>
              </w:rPr>
            </w:pPr>
          </w:p>
        </w:tc>
        <w:tc>
          <w:tcPr>
            <w:tcW w:w="216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行驶中车身触碰库位边线</w:t>
            </w:r>
          </w:p>
        </w:tc>
        <w:tc>
          <w:tcPr>
            <w:tcW w:w="181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每次扣10分</w:t>
            </w:r>
          </w:p>
        </w:tc>
        <w:tc>
          <w:tcPr>
            <w:tcW w:w="40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行驶中，车身任意点出库位边线内侧</w:t>
            </w:r>
          </w:p>
        </w:tc>
      </w:tr>
      <w:tr>
        <w:tblPrEx>
          <w:tblCellMar>
            <w:top w:w="0" w:type="dxa"/>
            <w:left w:w="108" w:type="dxa"/>
            <w:bottom w:w="0" w:type="dxa"/>
            <w:right w:w="108" w:type="dxa"/>
          </w:tblCellMar>
        </w:tblPrEx>
        <w:trPr>
          <w:trHeight w:val="480" w:hRule="atLeast"/>
          <w:jc w:val="center"/>
        </w:trPr>
        <w:tc>
          <w:tcPr>
            <w:tcW w:w="8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27 </w:t>
            </w:r>
          </w:p>
        </w:tc>
        <w:tc>
          <w:tcPr>
            <w:tcW w:w="122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kern w:val="0"/>
                <w:sz w:val="18"/>
                <w:szCs w:val="18"/>
              </w:rPr>
            </w:pPr>
          </w:p>
        </w:tc>
        <w:tc>
          <w:tcPr>
            <w:tcW w:w="216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行驶中车轮触轧库位边线</w:t>
            </w:r>
          </w:p>
        </w:tc>
        <w:tc>
          <w:tcPr>
            <w:tcW w:w="181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每次扣10分</w:t>
            </w:r>
          </w:p>
        </w:tc>
        <w:tc>
          <w:tcPr>
            <w:tcW w:w="40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w:t>
            </w:r>
          </w:p>
        </w:tc>
      </w:tr>
      <w:tr>
        <w:tblPrEx>
          <w:tblCellMar>
            <w:top w:w="0" w:type="dxa"/>
            <w:left w:w="108" w:type="dxa"/>
            <w:bottom w:w="0" w:type="dxa"/>
            <w:right w:w="108" w:type="dxa"/>
          </w:tblCellMar>
        </w:tblPrEx>
        <w:trPr>
          <w:trHeight w:val="480" w:hRule="atLeast"/>
          <w:jc w:val="center"/>
        </w:trPr>
        <w:tc>
          <w:tcPr>
            <w:tcW w:w="8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28 </w:t>
            </w:r>
          </w:p>
        </w:tc>
        <w:tc>
          <w:tcPr>
            <w:tcW w:w="122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kern w:val="0"/>
                <w:sz w:val="18"/>
                <w:szCs w:val="18"/>
              </w:rPr>
            </w:pPr>
          </w:p>
        </w:tc>
        <w:tc>
          <w:tcPr>
            <w:tcW w:w="216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出库前不使用或错误使用转向灯</w:t>
            </w:r>
          </w:p>
        </w:tc>
        <w:tc>
          <w:tcPr>
            <w:tcW w:w="181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扣10分</w:t>
            </w:r>
          </w:p>
        </w:tc>
        <w:tc>
          <w:tcPr>
            <w:tcW w:w="40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车辆向前移动时未开启左转向灯</w:t>
            </w:r>
          </w:p>
        </w:tc>
      </w:tr>
      <w:tr>
        <w:tblPrEx>
          <w:tblCellMar>
            <w:top w:w="0" w:type="dxa"/>
            <w:left w:w="108" w:type="dxa"/>
            <w:bottom w:w="0" w:type="dxa"/>
            <w:right w:w="108" w:type="dxa"/>
          </w:tblCellMar>
        </w:tblPrEx>
        <w:trPr>
          <w:trHeight w:val="280" w:hRule="atLeast"/>
          <w:jc w:val="center"/>
        </w:trPr>
        <w:tc>
          <w:tcPr>
            <w:tcW w:w="8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29 </w:t>
            </w:r>
          </w:p>
        </w:tc>
        <w:tc>
          <w:tcPr>
            <w:tcW w:w="122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kern w:val="0"/>
                <w:sz w:val="18"/>
                <w:szCs w:val="18"/>
              </w:rPr>
            </w:pPr>
          </w:p>
        </w:tc>
        <w:tc>
          <w:tcPr>
            <w:tcW w:w="216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中途停车</w:t>
            </w:r>
          </w:p>
        </w:tc>
        <w:tc>
          <w:tcPr>
            <w:tcW w:w="181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每次扣5分</w:t>
            </w:r>
          </w:p>
        </w:tc>
        <w:tc>
          <w:tcPr>
            <w:tcW w:w="40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进退途中停车时间超过2</w:t>
            </w:r>
            <w:r>
              <w:rPr>
                <w:rFonts w:hint="eastAsia" w:ascii="宋体" w:hAnsi="宋体" w:cs="宋体"/>
                <w:kern w:val="0"/>
              </w:rPr>
              <w:t xml:space="preserve"> </w:t>
            </w:r>
            <w:r>
              <w:rPr>
                <w:rFonts w:hint="eastAsia" w:ascii="宋体" w:hAnsi="宋体" w:cs="宋体"/>
                <w:kern w:val="0"/>
                <w:sz w:val="18"/>
                <w:szCs w:val="18"/>
              </w:rPr>
              <w:t>s</w:t>
            </w:r>
          </w:p>
        </w:tc>
      </w:tr>
      <w:tr>
        <w:tblPrEx>
          <w:tblCellMar>
            <w:top w:w="0" w:type="dxa"/>
            <w:left w:w="108" w:type="dxa"/>
            <w:bottom w:w="0" w:type="dxa"/>
            <w:right w:w="108" w:type="dxa"/>
          </w:tblCellMar>
        </w:tblPrEx>
        <w:trPr>
          <w:trHeight w:val="480" w:hRule="atLeast"/>
          <w:jc w:val="center"/>
        </w:trPr>
        <w:tc>
          <w:tcPr>
            <w:tcW w:w="8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30 </w:t>
            </w:r>
          </w:p>
        </w:tc>
        <w:tc>
          <w:tcPr>
            <w:tcW w:w="122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曲线行驶</w:t>
            </w:r>
          </w:p>
        </w:tc>
        <w:tc>
          <w:tcPr>
            <w:tcW w:w="216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不按规定路线、顺序行驶</w:t>
            </w:r>
          </w:p>
        </w:tc>
        <w:tc>
          <w:tcPr>
            <w:tcW w:w="181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不合格</w:t>
            </w:r>
          </w:p>
        </w:tc>
        <w:tc>
          <w:tcPr>
            <w:tcW w:w="40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在项目区域内倒车</w:t>
            </w:r>
          </w:p>
        </w:tc>
      </w:tr>
      <w:tr>
        <w:tblPrEx>
          <w:tblCellMar>
            <w:top w:w="0" w:type="dxa"/>
            <w:left w:w="108" w:type="dxa"/>
            <w:bottom w:w="0" w:type="dxa"/>
            <w:right w:w="108" w:type="dxa"/>
          </w:tblCellMar>
        </w:tblPrEx>
        <w:trPr>
          <w:trHeight w:val="280" w:hRule="atLeast"/>
          <w:jc w:val="center"/>
        </w:trPr>
        <w:tc>
          <w:tcPr>
            <w:tcW w:w="8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31 </w:t>
            </w:r>
          </w:p>
        </w:tc>
        <w:tc>
          <w:tcPr>
            <w:tcW w:w="122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kern w:val="0"/>
                <w:sz w:val="18"/>
                <w:szCs w:val="18"/>
              </w:rPr>
            </w:pPr>
          </w:p>
        </w:tc>
        <w:tc>
          <w:tcPr>
            <w:tcW w:w="216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车轮轧道路边缘线</w:t>
            </w:r>
          </w:p>
        </w:tc>
        <w:tc>
          <w:tcPr>
            <w:tcW w:w="181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不合格</w:t>
            </w:r>
          </w:p>
        </w:tc>
        <w:tc>
          <w:tcPr>
            <w:tcW w:w="40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w:t>
            </w:r>
          </w:p>
        </w:tc>
      </w:tr>
      <w:tr>
        <w:tblPrEx>
          <w:tblCellMar>
            <w:top w:w="0" w:type="dxa"/>
            <w:left w:w="108" w:type="dxa"/>
            <w:bottom w:w="0" w:type="dxa"/>
            <w:right w:w="108" w:type="dxa"/>
          </w:tblCellMar>
        </w:tblPrEx>
        <w:trPr>
          <w:trHeight w:val="280" w:hRule="atLeast"/>
          <w:jc w:val="center"/>
        </w:trPr>
        <w:tc>
          <w:tcPr>
            <w:tcW w:w="8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32 </w:t>
            </w:r>
          </w:p>
        </w:tc>
        <w:tc>
          <w:tcPr>
            <w:tcW w:w="122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kern w:val="0"/>
                <w:sz w:val="18"/>
                <w:szCs w:val="18"/>
              </w:rPr>
            </w:pPr>
          </w:p>
        </w:tc>
        <w:tc>
          <w:tcPr>
            <w:tcW w:w="216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中途停车</w:t>
            </w:r>
          </w:p>
        </w:tc>
        <w:tc>
          <w:tcPr>
            <w:tcW w:w="181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每次扣5分</w:t>
            </w:r>
          </w:p>
        </w:tc>
        <w:tc>
          <w:tcPr>
            <w:tcW w:w="40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行驶中停车时间超过2</w:t>
            </w:r>
            <w:r>
              <w:rPr>
                <w:rFonts w:hint="eastAsia" w:ascii="宋体" w:hAnsi="宋体" w:cs="宋体"/>
                <w:kern w:val="0"/>
              </w:rPr>
              <w:t xml:space="preserve"> </w:t>
            </w:r>
            <w:r>
              <w:rPr>
                <w:rFonts w:hint="eastAsia" w:ascii="宋体" w:hAnsi="宋体" w:cs="宋体"/>
                <w:kern w:val="0"/>
                <w:sz w:val="18"/>
                <w:szCs w:val="18"/>
              </w:rPr>
              <w:t>s</w:t>
            </w:r>
          </w:p>
        </w:tc>
      </w:tr>
      <w:tr>
        <w:tblPrEx>
          <w:tblCellMar>
            <w:top w:w="0" w:type="dxa"/>
            <w:left w:w="108" w:type="dxa"/>
            <w:bottom w:w="0" w:type="dxa"/>
            <w:right w:w="108" w:type="dxa"/>
          </w:tblCellMar>
        </w:tblPrEx>
        <w:trPr>
          <w:trHeight w:val="480" w:hRule="atLeast"/>
          <w:jc w:val="center"/>
        </w:trPr>
        <w:tc>
          <w:tcPr>
            <w:tcW w:w="8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33 </w:t>
            </w:r>
          </w:p>
        </w:tc>
        <w:tc>
          <w:tcPr>
            <w:tcW w:w="122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直角转弯</w:t>
            </w:r>
          </w:p>
        </w:tc>
        <w:tc>
          <w:tcPr>
            <w:tcW w:w="216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不按规定路线、顺序行驶</w:t>
            </w:r>
          </w:p>
        </w:tc>
        <w:tc>
          <w:tcPr>
            <w:tcW w:w="181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不合格</w:t>
            </w:r>
          </w:p>
        </w:tc>
        <w:tc>
          <w:tcPr>
            <w:tcW w:w="40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在项目区域内倒车</w:t>
            </w:r>
          </w:p>
        </w:tc>
      </w:tr>
      <w:tr>
        <w:tblPrEx>
          <w:tblCellMar>
            <w:top w:w="0" w:type="dxa"/>
            <w:left w:w="108" w:type="dxa"/>
            <w:bottom w:w="0" w:type="dxa"/>
            <w:right w:w="108" w:type="dxa"/>
          </w:tblCellMar>
        </w:tblPrEx>
        <w:trPr>
          <w:trHeight w:val="280" w:hRule="atLeast"/>
          <w:jc w:val="center"/>
        </w:trPr>
        <w:tc>
          <w:tcPr>
            <w:tcW w:w="8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34 </w:t>
            </w:r>
          </w:p>
        </w:tc>
        <w:tc>
          <w:tcPr>
            <w:tcW w:w="122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kern w:val="0"/>
                <w:sz w:val="18"/>
                <w:szCs w:val="18"/>
              </w:rPr>
            </w:pPr>
          </w:p>
        </w:tc>
        <w:tc>
          <w:tcPr>
            <w:tcW w:w="216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车轮轧道路边缘线</w:t>
            </w:r>
          </w:p>
        </w:tc>
        <w:tc>
          <w:tcPr>
            <w:tcW w:w="181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不合格</w:t>
            </w:r>
          </w:p>
        </w:tc>
        <w:tc>
          <w:tcPr>
            <w:tcW w:w="40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w:t>
            </w:r>
          </w:p>
        </w:tc>
      </w:tr>
      <w:tr>
        <w:tblPrEx>
          <w:tblCellMar>
            <w:top w:w="0" w:type="dxa"/>
            <w:left w:w="108" w:type="dxa"/>
            <w:bottom w:w="0" w:type="dxa"/>
            <w:right w:w="108" w:type="dxa"/>
          </w:tblCellMar>
        </w:tblPrEx>
        <w:trPr>
          <w:trHeight w:val="720" w:hRule="atLeast"/>
          <w:jc w:val="center"/>
        </w:trPr>
        <w:tc>
          <w:tcPr>
            <w:tcW w:w="8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35 </w:t>
            </w:r>
          </w:p>
        </w:tc>
        <w:tc>
          <w:tcPr>
            <w:tcW w:w="122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kern w:val="0"/>
                <w:sz w:val="18"/>
                <w:szCs w:val="18"/>
              </w:rPr>
            </w:pPr>
          </w:p>
        </w:tc>
        <w:tc>
          <w:tcPr>
            <w:tcW w:w="216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转弯前不使用或错误使用转向灯</w:t>
            </w:r>
          </w:p>
        </w:tc>
        <w:tc>
          <w:tcPr>
            <w:tcW w:w="181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扣10分</w:t>
            </w:r>
          </w:p>
        </w:tc>
        <w:tc>
          <w:tcPr>
            <w:tcW w:w="40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车辆前保险杠在附录D图D.11中点1、点2、点3、点6构成区域内，未开启过对应的转向灯</w:t>
            </w:r>
          </w:p>
        </w:tc>
      </w:tr>
      <w:tr>
        <w:tblPrEx>
          <w:tblCellMar>
            <w:top w:w="0" w:type="dxa"/>
            <w:left w:w="108" w:type="dxa"/>
            <w:bottom w:w="0" w:type="dxa"/>
            <w:right w:w="108" w:type="dxa"/>
          </w:tblCellMar>
        </w:tblPrEx>
        <w:trPr>
          <w:trHeight w:val="480" w:hRule="atLeast"/>
          <w:jc w:val="center"/>
        </w:trPr>
        <w:tc>
          <w:tcPr>
            <w:tcW w:w="8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36 </w:t>
            </w:r>
          </w:p>
        </w:tc>
        <w:tc>
          <w:tcPr>
            <w:tcW w:w="122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kern w:val="0"/>
                <w:sz w:val="18"/>
                <w:szCs w:val="18"/>
              </w:rPr>
            </w:pPr>
          </w:p>
        </w:tc>
        <w:tc>
          <w:tcPr>
            <w:tcW w:w="216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转弯后不关闭转向灯</w:t>
            </w:r>
          </w:p>
        </w:tc>
        <w:tc>
          <w:tcPr>
            <w:tcW w:w="181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扣10分</w:t>
            </w:r>
          </w:p>
        </w:tc>
        <w:tc>
          <w:tcPr>
            <w:tcW w:w="40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车辆车尾驶出图D.11中点4、点5连线时未关闭转向灯</w:t>
            </w:r>
          </w:p>
        </w:tc>
      </w:tr>
      <w:tr>
        <w:tblPrEx>
          <w:tblCellMar>
            <w:top w:w="0" w:type="dxa"/>
            <w:left w:w="108" w:type="dxa"/>
            <w:bottom w:w="0" w:type="dxa"/>
            <w:right w:w="108" w:type="dxa"/>
          </w:tblCellMar>
        </w:tblPrEx>
        <w:trPr>
          <w:trHeight w:val="280" w:hRule="atLeast"/>
          <w:jc w:val="center"/>
        </w:trPr>
        <w:tc>
          <w:tcPr>
            <w:tcW w:w="8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37 </w:t>
            </w:r>
          </w:p>
        </w:tc>
        <w:tc>
          <w:tcPr>
            <w:tcW w:w="122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kern w:val="0"/>
                <w:sz w:val="18"/>
                <w:szCs w:val="18"/>
              </w:rPr>
            </w:pPr>
          </w:p>
        </w:tc>
        <w:tc>
          <w:tcPr>
            <w:tcW w:w="216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中途停车</w:t>
            </w:r>
          </w:p>
        </w:tc>
        <w:tc>
          <w:tcPr>
            <w:tcW w:w="181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每次扣5分</w:t>
            </w:r>
          </w:p>
        </w:tc>
        <w:tc>
          <w:tcPr>
            <w:tcW w:w="40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18"/>
                <w:szCs w:val="18"/>
              </w:rPr>
            </w:pPr>
            <w:r>
              <w:rPr>
                <w:rFonts w:hint="eastAsia" w:ascii="宋体" w:hAnsi="宋体" w:cs="宋体"/>
                <w:kern w:val="0"/>
                <w:sz w:val="18"/>
                <w:szCs w:val="18"/>
              </w:rPr>
              <w:t>行驶中停车时间超过2</w:t>
            </w:r>
            <w:r>
              <w:rPr>
                <w:rFonts w:hint="eastAsia" w:ascii="宋体" w:hAnsi="宋体" w:cs="宋体"/>
                <w:kern w:val="0"/>
              </w:rPr>
              <w:t xml:space="preserve"> </w:t>
            </w:r>
            <w:r>
              <w:rPr>
                <w:rFonts w:hint="eastAsia" w:ascii="宋体" w:hAnsi="宋体" w:cs="宋体"/>
                <w:kern w:val="0"/>
                <w:sz w:val="18"/>
                <w:szCs w:val="18"/>
              </w:rPr>
              <w:t>s</w:t>
            </w:r>
          </w:p>
        </w:tc>
      </w:tr>
    </w:tbl>
    <w:p>
      <w:pPr>
        <w:spacing w:line="360" w:lineRule="auto"/>
        <w:contextualSpacing/>
        <w:rPr>
          <w:rFonts w:ascii="仿宋" w:hAnsi="仿宋" w:eastAsia="仿宋" w:cs="宋体"/>
          <w:sz w:val="28"/>
          <w:szCs w:val="28"/>
        </w:rPr>
      </w:pPr>
    </w:p>
    <w:p>
      <w:pPr>
        <w:spacing w:line="360" w:lineRule="auto"/>
        <w:contextualSpacing/>
        <w:rPr>
          <w:rFonts w:ascii="仿宋" w:hAnsi="仿宋" w:eastAsia="仿宋" w:cs="宋体"/>
          <w:b/>
          <w:sz w:val="28"/>
          <w:szCs w:val="28"/>
        </w:rPr>
      </w:pPr>
      <w:r>
        <w:rPr>
          <w:rFonts w:hint="eastAsia" w:ascii="仿宋" w:hAnsi="仿宋" w:eastAsia="仿宋" w:cs="宋体"/>
          <w:b/>
          <w:kern w:val="0"/>
          <w:sz w:val="28"/>
          <w:szCs w:val="28"/>
        </w:rPr>
        <w:t xml:space="preserve"> （七）  模块分类：</w:t>
      </w:r>
    </w:p>
    <w:p>
      <w:pPr>
        <w:spacing w:line="360" w:lineRule="auto"/>
        <w:ind w:firstLine="420"/>
        <w:contextualSpacing/>
        <w:rPr>
          <w:rFonts w:ascii="仿宋" w:hAnsi="仿宋" w:eastAsia="仿宋" w:cs="宋体"/>
          <w:sz w:val="28"/>
          <w:szCs w:val="28"/>
        </w:rPr>
      </w:pPr>
      <w:r>
        <w:rPr>
          <w:rFonts w:hint="eastAsia" w:ascii="仿宋" w:hAnsi="仿宋" w:eastAsia="仿宋" w:cs="宋体"/>
          <w:b/>
          <w:kern w:val="0"/>
          <w:sz w:val="28"/>
          <w:szCs w:val="28"/>
        </w:rPr>
        <w:t>通讯中间件：</w:t>
      </w:r>
      <w:r>
        <w:rPr>
          <w:rFonts w:hint="eastAsia" w:ascii="仿宋" w:hAnsi="仿宋" w:eastAsia="仿宋" w:cs="宋体"/>
          <w:kern w:val="0"/>
          <w:sz w:val="28"/>
          <w:szCs w:val="28"/>
        </w:rPr>
        <w:t>提供标准socket、restful接口交互协议用于流程对接、实时数据对接、以及考试流水对接。</w:t>
      </w:r>
    </w:p>
    <w:p>
      <w:pPr>
        <w:spacing w:line="360" w:lineRule="auto"/>
        <w:ind w:firstLine="420"/>
        <w:contextualSpacing/>
        <w:rPr>
          <w:rFonts w:ascii="仿宋" w:hAnsi="仿宋" w:eastAsia="仿宋" w:cs="宋体"/>
          <w:sz w:val="28"/>
          <w:szCs w:val="28"/>
        </w:rPr>
      </w:pPr>
      <w:r>
        <w:rPr>
          <w:rFonts w:hint="eastAsia" w:ascii="仿宋" w:hAnsi="仿宋" w:eastAsia="仿宋" w:cs="宋体"/>
          <w:b/>
          <w:kern w:val="0"/>
          <w:sz w:val="28"/>
          <w:szCs w:val="28"/>
        </w:rPr>
        <w:t>管理平台：</w:t>
      </w:r>
      <w:r>
        <w:rPr>
          <w:rFonts w:hint="eastAsia" w:ascii="仿宋" w:hAnsi="仿宋" w:eastAsia="仿宋"/>
          <w:sz w:val="28"/>
          <w:szCs w:val="28"/>
        </w:rPr>
        <w:t>基于浏览器模式设计相对与原系统的CS模式设计，具有安装部署升级简单、维护方便和共享性强等特点</w:t>
      </w:r>
      <w:r>
        <w:rPr>
          <w:rFonts w:hint="eastAsia" w:ascii="仿宋" w:hAnsi="仿宋" w:eastAsia="仿宋" w:cs="宋体"/>
          <w:kern w:val="0"/>
          <w:sz w:val="28"/>
          <w:szCs w:val="28"/>
        </w:rPr>
        <w:t>。</w:t>
      </w:r>
    </w:p>
    <w:p>
      <w:pPr>
        <w:spacing w:line="360" w:lineRule="auto"/>
        <w:ind w:firstLine="420"/>
        <w:contextualSpacing/>
        <w:rPr>
          <w:rFonts w:ascii="仿宋" w:hAnsi="仿宋" w:eastAsia="仿宋"/>
          <w:sz w:val="28"/>
          <w:szCs w:val="28"/>
        </w:rPr>
      </w:pPr>
      <w:r>
        <w:rPr>
          <w:rFonts w:hint="eastAsia" w:ascii="仿宋" w:hAnsi="仿宋" w:eastAsia="仿宋" w:cs="宋体"/>
          <w:b/>
          <w:kern w:val="0"/>
          <w:sz w:val="28"/>
          <w:szCs w:val="28"/>
        </w:rPr>
        <w:t>车载评判软件：</w:t>
      </w:r>
      <w:r>
        <w:rPr>
          <w:rFonts w:hint="eastAsia" w:ascii="仿宋" w:hAnsi="仿宋" w:eastAsia="仿宋"/>
          <w:sz w:val="28"/>
          <w:szCs w:val="28"/>
        </w:rPr>
        <w:t>基于socket、http协议进行考试评判和车辆位置信号传送</w:t>
      </w:r>
      <w:r>
        <w:rPr>
          <w:rFonts w:hint="eastAsia" w:ascii="仿宋" w:hAnsi="仿宋" w:eastAsia="仿宋" w:cs="宋体"/>
          <w:kern w:val="0"/>
          <w:sz w:val="28"/>
          <w:szCs w:val="28"/>
        </w:rPr>
        <w:t>。</w:t>
      </w:r>
      <w:r>
        <w:rPr>
          <w:rFonts w:ascii="仿宋" w:hAnsi="仿宋" w:eastAsia="仿宋"/>
          <w:sz w:val="28"/>
          <w:szCs w:val="28"/>
        </w:rPr>
        <w:t xml:space="preserve"> </w:t>
      </w:r>
    </w:p>
    <w:p>
      <w:pPr>
        <w:spacing w:line="360" w:lineRule="auto"/>
        <w:ind w:firstLine="420"/>
        <w:contextualSpacing/>
        <w:rPr>
          <w:rFonts w:ascii="仿宋" w:hAnsi="仿宋" w:eastAsia="仿宋" w:cs="宋体"/>
          <w:sz w:val="28"/>
          <w:szCs w:val="28"/>
        </w:rPr>
      </w:pPr>
      <w:r>
        <w:rPr>
          <w:rFonts w:hint="eastAsia" w:ascii="仿宋" w:hAnsi="仿宋" w:eastAsia="仿宋" w:cs="宋体"/>
          <w:b/>
          <w:kern w:val="0"/>
          <w:sz w:val="28"/>
          <w:szCs w:val="28"/>
        </w:rPr>
        <w:t>第三方对接：</w:t>
      </w:r>
      <w:r>
        <w:rPr>
          <w:rFonts w:hint="eastAsia" w:ascii="仿宋" w:hAnsi="仿宋" w:eastAsia="仿宋"/>
          <w:sz w:val="28"/>
          <w:szCs w:val="28"/>
        </w:rPr>
        <w:t>支持接入第三方系统协议定制</w:t>
      </w:r>
      <w:r>
        <w:rPr>
          <w:rFonts w:hint="eastAsia" w:ascii="仿宋" w:hAnsi="仿宋" w:eastAsia="仿宋" w:cs="宋体"/>
          <w:kern w:val="0"/>
          <w:sz w:val="28"/>
          <w:szCs w:val="28"/>
        </w:rPr>
        <w:t>。</w:t>
      </w:r>
    </w:p>
    <w:p>
      <w:pPr>
        <w:spacing w:line="360" w:lineRule="auto"/>
        <w:ind w:firstLine="420"/>
        <w:contextualSpacing/>
        <w:rPr>
          <w:rFonts w:ascii="仿宋" w:hAnsi="仿宋" w:eastAsia="仿宋" w:cs="宋体"/>
          <w:sz w:val="28"/>
          <w:szCs w:val="28"/>
        </w:rPr>
      </w:pPr>
      <w:r>
        <w:rPr>
          <w:rFonts w:hint="eastAsia" w:ascii="仿宋" w:hAnsi="仿宋" w:eastAsia="仿宋" w:cs="宋体"/>
          <w:b/>
          <w:kern w:val="0"/>
          <w:sz w:val="28"/>
          <w:szCs w:val="28"/>
        </w:rPr>
        <w:t>音视频合成：</w:t>
      </w:r>
      <w:r>
        <w:rPr>
          <w:rFonts w:hint="eastAsia" w:ascii="仿宋" w:hAnsi="仿宋" w:eastAsia="仿宋"/>
          <w:sz w:val="28"/>
          <w:szCs w:val="28"/>
        </w:rPr>
        <w:t>基于tcp协议的考试信息以及轨迹信号合成</w:t>
      </w:r>
      <w:r>
        <w:rPr>
          <w:rFonts w:hint="eastAsia" w:ascii="仿宋" w:hAnsi="仿宋" w:eastAsia="仿宋" w:cs="宋体"/>
          <w:kern w:val="0"/>
          <w:sz w:val="28"/>
          <w:szCs w:val="28"/>
        </w:rPr>
        <w:t>。</w:t>
      </w:r>
    </w:p>
    <w:p>
      <w:pPr>
        <w:spacing w:line="360" w:lineRule="auto"/>
        <w:ind w:firstLine="420"/>
        <w:contextualSpacing/>
        <w:rPr>
          <w:rFonts w:ascii="仿宋" w:hAnsi="仿宋" w:eastAsia="仿宋" w:cs="宋体"/>
          <w:kern w:val="0"/>
          <w:sz w:val="28"/>
          <w:szCs w:val="28"/>
        </w:rPr>
      </w:pPr>
      <w:r>
        <w:rPr>
          <w:rFonts w:hint="eastAsia" w:ascii="仿宋" w:hAnsi="仿宋" w:eastAsia="仿宋" w:cs="宋体"/>
          <w:b/>
          <w:kern w:val="0"/>
          <w:sz w:val="28"/>
          <w:szCs w:val="28"/>
        </w:rPr>
        <w:t>数据库代理：</w:t>
      </w:r>
      <w:r>
        <w:rPr>
          <w:rFonts w:hint="eastAsia" w:ascii="仿宋" w:hAnsi="仿宋" w:eastAsia="仿宋" w:cs="宋体"/>
          <w:kern w:val="0"/>
          <w:sz w:val="28"/>
          <w:szCs w:val="28"/>
        </w:rPr>
        <w:t>所以直接访问数据库通过restful接口通讯，避免直接用户名密码暴力连接。</w:t>
      </w:r>
    </w:p>
    <w:p>
      <w:pPr>
        <w:spacing w:line="360" w:lineRule="auto"/>
        <w:ind w:firstLine="420"/>
        <w:contextualSpacing/>
        <w:rPr>
          <w:rFonts w:ascii="仿宋" w:hAnsi="仿宋" w:eastAsia="仿宋" w:cs="宋体"/>
          <w:kern w:val="0"/>
          <w:sz w:val="28"/>
          <w:szCs w:val="28"/>
        </w:rPr>
      </w:pPr>
    </w:p>
    <w:p>
      <w:pPr>
        <w:widowControl/>
        <w:spacing w:line="360" w:lineRule="auto"/>
        <w:jc w:val="center"/>
        <w:rPr>
          <w:rFonts w:ascii="仿宋" w:hAnsi="仿宋" w:eastAsia="仿宋" w:cs="宋体"/>
          <w:b/>
          <w:sz w:val="44"/>
          <w:szCs w:val="44"/>
          <w:lang w:bidi="ar"/>
        </w:rPr>
      </w:pPr>
      <w:r>
        <w:rPr>
          <w:rFonts w:hint="eastAsia" w:ascii="仿宋" w:hAnsi="仿宋" w:eastAsia="仿宋" w:cs="宋体"/>
          <w:b/>
          <w:sz w:val="44"/>
          <w:szCs w:val="44"/>
          <w:lang w:bidi="ar"/>
        </w:rPr>
        <w:t xml:space="preserve">第四部分 </w:t>
      </w:r>
      <w:r>
        <w:rPr>
          <w:rFonts w:ascii="仿宋" w:hAnsi="仿宋" w:eastAsia="仿宋" w:cs="宋体"/>
          <w:b/>
          <w:sz w:val="44"/>
          <w:szCs w:val="44"/>
          <w:lang w:bidi="ar"/>
        </w:rPr>
        <w:t xml:space="preserve"> </w:t>
      </w:r>
      <w:r>
        <w:rPr>
          <w:rFonts w:hint="eastAsia" w:ascii="仿宋" w:hAnsi="仿宋" w:eastAsia="仿宋" w:cs="宋体"/>
          <w:b/>
          <w:sz w:val="44"/>
          <w:szCs w:val="44"/>
          <w:lang w:bidi="ar"/>
        </w:rPr>
        <w:t>报价须知</w:t>
      </w:r>
    </w:p>
    <w:p>
      <w:pPr>
        <w:widowControl/>
        <w:spacing w:line="360" w:lineRule="auto"/>
        <w:jc w:val="center"/>
        <w:rPr>
          <w:rFonts w:ascii="仿宋" w:hAnsi="仿宋" w:eastAsia="仿宋" w:cs="宋体"/>
          <w:b/>
          <w:sz w:val="44"/>
          <w:szCs w:val="44"/>
          <w:lang w:bidi="ar"/>
        </w:rPr>
      </w:pPr>
    </w:p>
    <w:p>
      <w:pPr>
        <w:shd w:val="clear" w:color="auto" w:fill="FFFFFF"/>
        <w:spacing w:line="360" w:lineRule="auto"/>
        <w:rPr>
          <w:rFonts w:ascii="仿宋" w:hAnsi="仿宋" w:eastAsia="仿宋" w:cs="宋体"/>
          <w:color w:val="000000"/>
          <w:sz w:val="28"/>
          <w:szCs w:val="28"/>
        </w:rPr>
      </w:pPr>
      <w:r>
        <w:rPr>
          <w:rFonts w:hint="eastAsia" w:ascii="仿宋" w:hAnsi="仿宋" w:eastAsia="仿宋" w:cs="宋体"/>
          <w:color w:val="000000"/>
          <w:sz w:val="28"/>
          <w:szCs w:val="28"/>
        </w:rPr>
        <w:t>一、递交报价函（或发送报价函）截止时间及地点：</w:t>
      </w:r>
    </w:p>
    <w:p>
      <w:pPr>
        <w:shd w:val="clear" w:color="auto" w:fill="FFFFFF"/>
        <w:spacing w:line="360" w:lineRule="auto"/>
        <w:ind w:firstLine="560" w:firstLineChars="200"/>
        <w:rPr>
          <w:rFonts w:ascii="仿宋" w:hAnsi="仿宋" w:eastAsia="仿宋" w:cs="宋体"/>
          <w:color w:val="000000"/>
          <w:sz w:val="28"/>
          <w:szCs w:val="28"/>
        </w:rPr>
      </w:pPr>
      <w:r>
        <w:rPr>
          <w:rFonts w:hint="eastAsia" w:ascii="仿宋" w:hAnsi="仿宋" w:eastAsia="仿宋" w:cs="宋体"/>
          <w:color w:val="000000"/>
          <w:sz w:val="28"/>
          <w:szCs w:val="28"/>
        </w:rPr>
        <w:t>1</w:t>
      </w:r>
      <w:r>
        <w:rPr>
          <w:rFonts w:ascii="仿宋" w:hAnsi="仿宋" w:eastAsia="仿宋" w:cs="宋体"/>
          <w:color w:val="000000"/>
          <w:sz w:val="28"/>
          <w:szCs w:val="28"/>
        </w:rPr>
        <w:t>.</w:t>
      </w:r>
      <w:r>
        <w:rPr>
          <w:rFonts w:hint="eastAsia" w:ascii="仿宋" w:hAnsi="仿宋" w:eastAsia="仿宋" w:cs="宋体"/>
          <w:color w:val="000000"/>
          <w:sz w:val="28"/>
          <w:szCs w:val="28"/>
        </w:rPr>
        <w:t>截止时间：</w:t>
      </w:r>
      <w:r>
        <w:rPr>
          <w:rFonts w:hint="eastAsia" w:ascii="仿宋" w:hAnsi="仿宋" w:eastAsia="仿宋" w:cs="宋体"/>
          <w:b/>
          <w:color w:val="000000"/>
          <w:sz w:val="28"/>
          <w:szCs w:val="28"/>
          <w:u w:val="single"/>
        </w:rPr>
        <w:t xml:space="preserve"> 2022 </w:t>
      </w:r>
      <w:r>
        <w:rPr>
          <w:rFonts w:hint="eastAsia" w:ascii="仿宋" w:hAnsi="仿宋" w:eastAsia="仿宋" w:cs="宋体"/>
          <w:color w:val="000000"/>
          <w:sz w:val="28"/>
          <w:szCs w:val="28"/>
        </w:rPr>
        <w:t>年</w:t>
      </w:r>
      <w:r>
        <w:rPr>
          <w:rFonts w:hint="eastAsia" w:ascii="仿宋" w:hAnsi="仿宋" w:eastAsia="仿宋" w:cs="宋体"/>
          <w:b/>
          <w:color w:val="000000"/>
          <w:sz w:val="28"/>
          <w:szCs w:val="28"/>
          <w:u w:val="single"/>
        </w:rPr>
        <w:t xml:space="preserve"> 7 </w:t>
      </w:r>
      <w:r>
        <w:rPr>
          <w:rFonts w:hint="eastAsia" w:ascii="仿宋" w:hAnsi="仿宋" w:eastAsia="仿宋" w:cs="宋体"/>
          <w:color w:val="000000"/>
          <w:sz w:val="28"/>
          <w:szCs w:val="28"/>
        </w:rPr>
        <w:t>月</w:t>
      </w:r>
      <w:r>
        <w:rPr>
          <w:rFonts w:hint="eastAsia" w:ascii="仿宋" w:hAnsi="仿宋" w:eastAsia="仿宋" w:cs="宋体"/>
          <w:b/>
          <w:color w:val="000000"/>
          <w:sz w:val="28"/>
          <w:szCs w:val="28"/>
          <w:u w:val="single"/>
        </w:rPr>
        <w:t xml:space="preserve"> 8  </w:t>
      </w:r>
      <w:r>
        <w:rPr>
          <w:rFonts w:hint="eastAsia" w:ascii="仿宋" w:hAnsi="仿宋" w:eastAsia="仿宋" w:cs="宋体"/>
          <w:color w:val="000000"/>
          <w:sz w:val="28"/>
          <w:szCs w:val="28"/>
        </w:rPr>
        <w:t>日</w:t>
      </w:r>
      <w:r>
        <w:rPr>
          <w:rFonts w:hint="eastAsia" w:ascii="仿宋" w:hAnsi="仿宋" w:eastAsia="仿宋" w:cs="宋体"/>
          <w:b/>
          <w:color w:val="000000"/>
          <w:sz w:val="28"/>
          <w:szCs w:val="28"/>
          <w:u w:val="single"/>
        </w:rPr>
        <w:t xml:space="preserve"> 9 </w:t>
      </w:r>
      <w:r>
        <w:rPr>
          <w:rFonts w:hint="eastAsia" w:ascii="仿宋" w:hAnsi="仿宋" w:eastAsia="仿宋" w:cs="宋体"/>
          <w:color w:val="000000"/>
          <w:sz w:val="28"/>
          <w:szCs w:val="28"/>
        </w:rPr>
        <w:t>时</w:t>
      </w:r>
      <w:r>
        <w:rPr>
          <w:rFonts w:hint="eastAsia" w:ascii="仿宋" w:hAnsi="仿宋" w:eastAsia="仿宋" w:cs="宋体"/>
          <w:b/>
          <w:color w:val="000000"/>
          <w:sz w:val="28"/>
          <w:szCs w:val="28"/>
          <w:u w:val="single"/>
        </w:rPr>
        <w:t xml:space="preserve"> 30 </w:t>
      </w:r>
      <w:r>
        <w:rPr>
          <w:rFonts w:hint="eastAsia" w:ascii="仿宋" w:hAnsi="仿宋" w:eastAsia="仿宋" w:cs="宋体"/>
          <w:color w:val="000000"/>
          <w:sz w:val="28"/>
          <w:szCs w:val="28"/>
        </w:rPr>
        <w:t>分；</w:t>
      </w:r>
    </w:p>
    <w:p>
      <w:pPr>
        <w:shd w:val="clear" w:color="auto" w:fill="FFFFFF"/>
        <w:spacing w:line="360" w:lineRule="auto"/>
        <w:ind w:firstLine="562" w:firstLineChars="200"/>
        <w:rPr>
          <w:rFonts w:ascii="仿宋" w:hAnsi="仿宋" w:eastAsia="仿宋" w:cs="Times New Roman"/>
          <w:b/>
          <w:bCs/>
          <w:sz w:val="28"/>
          <w:szCs w:val="28"/>
        </w:rPr>
      </w:pPr>
      <w:r>
        <w:rPr>
          <w:rFonts w:hint="eastAsia" w:ascii="仿宋" w:hAnsi="仿宋" w:eastAsia="仿宋" w:cs="黑体"/>
          <w:b/>
          <w:bCs/>
          <w:sz w:val="28"/>
          <w:szCs w:val="28"/>
        </w:rPr>
        <w:t>2</w:t>
      </w:r>
      <w:r>
        <w:rPr>
          <w:rFonts w:ascii="仿宋" w:hAnsi="仿宋" w:eastAsia="仿宋" w:cs="黑体"/>
          <w:b/>
          <w:bCs/>
          <w:sz w:val="28"/>
          <w:szCs w:val="28"/>
        </w:rPr>
        <w:t>.</w:t>
      </w:r>
      <w:r>
        <w:rPr>
          <w:rFonts w:hint="eastAsia" w:ascii="仿宋" w:hAnsi="仿宋" w:eastAsia="仿宋" w:cs="黑体"/>
          <w:b/>
          <w:bCs/>
          <w:sz w:val="28"/>
          <w:szCs w:val="28"/>
        </w:rPr>
        <w:t>有意向的单位，请于2022年</w:t>
      </w:r>
      <w:r>
        <w:rPr>
          <w:rFonts w:ascii="仿宋" w:hAnsi="仿宋" w:eastAsia="仿宋" w:cs="黑体"/>
          <w:b/>
          <w:bCs/>
          <w:sz w:val="28"/>
          <w:szCs w:val="28"/>
          <w:u w:val="single"/>
        </w:rPr>
        <w:t xml:space="preserve"> </w:t>
      </w:r>
      <w:r>
        <w:rPr>
          <w:rFonts w:hint="eastAsia" w:ascii="仿宋" w:hAnsi="仿宋" w:eastAsia="仿宋" w:cs="黑体"/>
          <w:b/>
          <w:bCs/>
          <w:sz w:val="28"/>
          <w:szCs w:val="28"/>
          <w:u w:val="single"/>
        </w:rPr>
        <w:t>7</w:t>
      </w:r>
      <w:r>
        <w:rPr>
          <w:rFonts w:ascii="仿宋" w:hAnsi="仿宋" w:eastAsia="仿宋" w:cs="黑体"/>
          <w:b/>
          <w:bCs/>
          <w:sz w:val="28"/>
          <w:szCs w:val="28"/>
          <w:u w:val="single"/>
        </w:rPr>
        <w:t xml:space="preserve"> </w:t>
      </w:r>
      <w:r>
        <w:rPr>
          <w:rFonts w:hint="eastAsia" w:ascii="仿宋" w:hAnsi="仿宋" w:eastAsia="仿宋" w:cs="黑体"/>
          <w:b/>
          <w:bCs/>
          <w:sz w:val="28"/>
          <w:szCs w:val="28"/>
        </w:rPr>
        <w:t>月</w:t>
      </w:r>
      <w:r>
        <w:rPr>
          <w:rFonts w:ascii="仿宋" w:hAnsi="仿宋" w:eastAsia="仿宋" w:cs="黑体"/>
          <w:b/>
          <w:bCs/>
          <w:sz w:val="28"/>
          <w:szCs w:val="28"/>
          <w:u w:val="single"/>
        </w:rPr>
        <w:t xml:space="preserve"> </w:t>
      </w:r>
      <w:r>
        <w:rPr>
          <w:rFonts w:hint="eastAsia" w:ascii="仿宋" w:hAnsi="仿宋" w:eastAsia="仿宋" w:cs="黑体"/>
          <w:b/>
          <w:bCs/>
          <w:sz w:val="28"/>
          <w:szCs w:val="28"/>
          <w:u w:val="single"/>
        </w:rPr>
        <w:t>15</w:t>
      </w:r>
      <w:r>
        <w:rPr>
          <w:rFonts w:ascii="仿宋" w:hAnsi="仿宋" w:eastAsia="仿宋" w:cs="黑体"/>
          <w:b/>
          <w:bCs/>
          <w:sz w:val="28"/>
          <w:szCs w:val="28"/>
          <w:u w:val="single"/>
        </w:rPr>
        <w:t xml:space="preserve"> </w:t>
      </w:r>
      <w:r>
        <w:rPr>
          <w:rFonts w:hint="eastAsia" w:ascii="仿宋" w:hAnsi="仿宋" w:eastAsia="仿宋" w:cs="黑体"/>
          <w:b/>
          <w:bCs/>
          <w:sz w:val="28"/>
          <w:szCs w:val="28"/>
        </w:rPr>
        <w:t>日</w:t>
      </w:r>
      <w:r>
        <w:rPr>
          <w:rFonts w:hint="eastAsia" w:ascii="仿宋" w:hAnsi="仿宋" w:eastAsia="仿宋" w:cs="宋体"/>
          <w:b/>
          <w:color w:val="000000"/>
          <w:sz w:val="28"/>
          <w:szCs w:val="28"/>
          <w:u w:val="single"/>
        </w:rPr>
        <w:t xml:space="preserve"> 9 </w:t>
      </w:r>
      <w:r>
        <w:rPr>
          <w:rFonts w:hint="eastAsia" w:ascii="仿宋" w:hAnsi="仿宋" w:eastAsia="仿宋" w:cs="宋体"/>
          <w:color w:val="000000"/>
          <w:sz w:val="28"/>
          <w:szCs w:val="28"/>
        </w:rPr>
        <w:t>时</w:t>
      </w:r>
      <w:r>
        <w:rPr>
          <w:rFonts w:hint="eastAsia" w:ascii="仿宋" w:hAnsi="仿宋" w:eastAsia="仿宋" w:cs="宋体"/>
          <w:b/>
          <w:color w:val="000000"/>
          <w:sz w:val="28"/>
          <w:szCs w:val="28"/>
          <w:u w:val="single"/>
        </w:rPr>
        <w:t xml:space="preserve"> 30 </w:t>
      </w:r>
      <w:r>
        <w:rPr>
          <w:rFonts w:hint="eastAsia" w:ascii="仿宋" w:hAnsi="仿宋" w:eastAsia="仿宋" w:cs="宋体"/>
          <w:color w:val="000000"/>
          <w:sz w:val="28"/>
          <w:szCs w:val="28"/>
        </w:rPr>
        <w:t>分</w:t>
      </w:r>
      <w:r>
        <w:rPr>
          <w:rFonts w:hint="eastAsia" w:ascii="仿宋" w:hAnsi="仿宋" w:eastAsia="仿宋" w:cs="黑体"/>
          <w:b/>
          <w:bCs/>
          <w:sz w:val="28"/>
          <w:szCs w:val="28"/>
        </w:rPr>
        <w:t>之前通过江门市采购行业协会网递交报价文件及报价。（有意向的单位请前往“中达通采电子交易平台”，网址：http://zdprocurement.com/进行用户注册登记，注册成功后方可递交报价文件及报价，在登记过程中如有疑问，请致电平台操作咨询单位“中达通采电子交易平台”联系人）</w:t>
      </w:r>
    </w:p>
    <w:p>
      <w:pPr>
        <w:spacing w:line="360" w:lineRule="auto"/>
        <w:rPr>
          <w:rFonts w:ascii="仿宋" w:hAnsi="仿宋" w:eastAsia="仿宋" w:cs="仿宋"/>
          <w:sz w:val="28"/>
          <w:szCs w:val="28"/>
          <w:lang w:bidi="ar"/>
        </w:rPr>
      </w:pPr>
      <w:bookmarkStart w:id="33" w:name="_Hlk44684129"/>
      <w:r>
        <w:rPr>
          <w:rFonts w:hint="eastAsia" w:ascii="仿宋" w:hAnsi="仿宋" w:eastAsia="仿宋" w:cs="仿宋"/>
          <w:sz w:val="28"/>
          <w:szCs w:val="28"/>
          <w:lang w:bidi="ar"/>
        </w:rPr>
        <w:t>二、报价要求</w:t>
      </w:r>
    </w:p>
    <w:p>
      <w:pPr>
        <w:spacing w:line="360" w:lineRule="auto"/>
        <w:ind w:firstLine="565" w:firstLineChars="202"/>
        <w:rPr>
          <w:rFonts w:ascii="仿宋" w:hAnsi="仿宋" w:eastAsia="仿宋" w:cs="仿宋"/>
          <w:sz w:val="28"/>
          <w:szCs w:val="28"/>
          <w:lang w:bidi="ar"/>
        </w:rPr>
      </w:pPr>
      <w:r>
        <w:rPr>
          <w:rFonts w:hint="eastAsia" w:ascii="仿宋" w:hAnsi="仿宋" w:eastAsia="仿宋" w:cs="仿宋"/>
          <w:sz w:val="28"/>
          <w:szCs w:val="28"/>
          <w:lang w:bidi="ar"/>
        </w:rPr>
        <w:t>1.报价包括但不限于：货物的全部价款、辅材、税费、运输、装卸、安装、调试、技术指导、培训、咨询、检测、包装等验收合格交付使用之前发生的所有费用以及技术和售后服务、招标代理服务费等其他各项与之有关所有费用；报价超过本次采购最高投标限价的为无效报价。</w:t>
      </w:r>
    </w:p>
    <w:p>
      <w:pPr>
        <w:spacing w:line="360" w:lineRule="auto"/>
        <w:ind w:firstLine="565" w:firstLineChars="202"/>
        <w:rPr>
          <w:rFonts w:ascii="仿宋" w:hAnsi="仿宋" w:eastAsia="仿宋" w:cs="仿宋"/>
          <w:sz w:val="28"/>
          <w:szCs w:val="28"/>
          <w:lang w:bidi="ar"/>
        </w:rPr>
      </w:pPr>
      <w:r>
        <w:rPr>
          <w:rFonts w:hint="eastAsia" w:ascii="仿宋" w:hAnsi="仿宋" w:eastAsia="仿宋" w:cs="仿宋"/>
          <w:sz w:val="28"/>
          <w:szCs w:val="28"/>
          <w:lang w:bidi="ar"/>
        </w:rPr>
        <w:t>2.响应人只允许有一个方案，一次性书面报价。多方案、多报价的将不被接受。</w:t>
      </w:r>
    </w:p>
    <w:p>
      <w:pPr>
        <w:spacing w:line="360" w:lineRule="auto"/>
        <w:ind w:firstLine="565" w:firstLineChars="202"/>
        <w:rPr>
          <w:rFonts w:ascii="仿宋" w:hAnsi="仿宋" w:eastAsia="仿宋" w:cs="仿宋"/>
          <w:sz w:val="28"/>
          <w:szCs w:val="28"/>
          <w:lang w:bidi="ar"/>
        </w:rPr>
      </w:pPr>
      <w:r>
        <w:rPr>
          <w:rFonts w:hint="eastAsia" w:ascii="仿宋" w:hAnsi="仿宋" w:eastAsia="仿宋" w:cs="仿宋"/>
          <w:sz w:val="28"/>
          <w:szCs w:val="28"/>
          <w:lang w:bidi="ar"/>
        </w:rPr>
        <w:t>3.报价函中的大写金额与小写金额不一致的，以大写金额为准。若报价表单价或总价有漏项的、单价汇总与总价不一致的，视为无效报价。</w:t>
      </w:r>
    </w:p>
    <w:p>
      <w:pPr>
        <w:spacing w:line="360" w:lineRule="auto"/>
        <w:ind w:firstLine="565" w:firstLineChars="202"/>
        <w:rPr>
          <w:rFonts w:ascii="仿宋" w:hAnsi="仿宋" w:eastAsia="仿宋" w:cs="仿宋"/>
          <w:sz w:val="28"/>
          <w:szCs w:val="28"/>
          <w:lang w:bidi="ar"/>
        </w:rPr>
      </w:pPr>
      <w:r>
        <w:rPr>
          <w:rFonts w:ascii="仿宋" w:hAnsi="仿宋" w:eastAsia="仿宋" w:cs="仿宋"/>
          <w:sz w:val="28"/>
          <w:szCs w:val="28"/>
          <w:lang w:bidi="ar"/>
        </w:rPr>
        <w:t>4.</w:t>
      </w:r>
      <w:r>
        <w:rPr>
          <w:rFonts w:hint="eastAsia"/>
        </w:rPr>
        <w:t xml:space="preserve"> </w:t>
      </w:r>
      <w:r>
        <w:rPr>
          <w:rFonts w:hint="eastAsia" w:ascii="仿宋" w:hAnsi="仿宋" w:eastAsia="仿宋" w:cs="仿宋"/>
          <w:sz w:val="28"/>
          <w:szCs w:val="28"/>
          <w:lang w:bidi="ar"/>
        </w:rPr>
        <w:t>响应人的</w:t>
      </w:r>
      <w:r>
        <w:rPr>
          <w:rFonts w:hint="eastAsia" w:ascii="仿宋" w:hAnsi="仿宋" w:eastAsia="仿宋" w:cs="仿宋"/>
          <w:b/>
          <w:bCs/>
          <w:sz w:val="28"/>
          <w:szCs w:val="28"/>
          <w:lang w:bidi="ar"/>
        </w:rPr>
        <w:t>响应文件请采用原件（盖公章后）的扫描件上传，</w:t>
      </w:r>
      <w:r>
        <w:rPr>
          <w:rFonts w:hint="eastAsia" w:ascii="仿宋" w:hAnsi="仿宋" w:eastAsia="仿宋" w:cs="仿宋"/>
          <w:sz w:val="28"/>
          <w:szCs w:val="28"/>
          <w:lang w:bidi="ar"/>
        </w:rPr>
        <w:t>并在合同签订前将响应文件原件提交邀请方“江门市蓬江区融顺机动车驾驶人培训有限公司”。</w:t>
      </w:r>
    </w:p>
    <w:p>
      <w:pPr>
        <w:shd w:val="clear" w:color="auto" w:fill="FFFFFF"/>
        <w:spacing w:line="360" w:lineRule="auto"/>
        <w:ind w:firstLine="560" w:firstLineChars="200"/>
        <w:rPr>
          <w:rFonts w:ascii="仿宋" w:hAnsi="仿宋" w:eastAsia="仿宋"/>
          <w:sz w:val="28"/>
          <w:szCs w:val="28"/>
        </w:rPr>
      </w:pPr>
      <w:r>
        <w:rPr>
          <w:rFonts w:hint="eastAsia" w:ascii="仿宋" w:hAnsi="仿宋" w:eastAsia="仿宋"/>
          <w:color w:val="000000"/>
          <w:kern w:val="0"/>
          <w:sz w:val="28"/>
          <w:szCs w:val="28"/>
        </w:rPr>
        <w:t>5</w:t>
      </w:r>
      <w:r>
        <w:rPr>
          <w:rFonts w:ascii="仿宋" w:hAnsi="仿宋" w:eastAsia="仿宋"/>
          <w:color w:val="000000"/>
          <w:kern w:val="0"/>
          <w:sz w:val="28"/>
          <w:szCs w:val="28"/>
        </w:rPr>
        <w:t>.</w:t>
      </w:r>
      <w:r>
        <w:rPr>
          <w:rFonts w:hint="eastAsia" w:ascii="仿宋" w:hAnsi="仿宋" w:eastAsia="仿宋"/>
          <w:color w:val="000000"/>
          <w:kern w:val="0"/>
          <w:sz w:val="28"/>
          <w:szCs w:val="28"/>
        </w:rPr>
        <w:t>报价函中的大写金额与小写金额不一致的，以大写金额为准。</w:t>
      </w:r>
      <w:r>
        <w:rPr>
          <w:rFonts w:hint="eastAsia" w:ascii="仿宋" w:hAnsi="仿宋" w:eastAsia="仿宋"/>
          <w:b/>
          <w:bCs/>
          <w:color w:val="000000"/>
          <w:kern w:val="0"/>
          <w:sz w:val="28"/>
          <w:szCs w:val="28"/>
        </w:rPr>
        <w:t>若报价表单价或总价</w:t>
      </w:r>
      <w:r>
        <w:rPr>
          <w:rFonts w:hint="eastAsia" w:ascii="仿宋" w:hAnsi="仿宋" w:eastAsia="仿宋"/>
          <w:b/>
          <w:bCs/>
          <w:kern w:val="0"/>
          <w:sz w:val="28"/>
          <w:szCs w:val="28"/>
        </w:rPr>
        <w:t>有漏项的、单价汇总与总价不一致的，视为无效报价。</w:t>
      </w:r>
    </w:p>
    <w:p>
      <w:pPr>
        <w:shd w:val="clear" w:color="auto" w:fill="FFFFFF"/>
        <w:spacing w:line="360" w:lineRule="auto"/>
        <w:ind w:firstLine="560" w:firstLineChars="200"/>
        <w:rPr>
          <w:rFonts w:ascii="仿宋" w:hAnsi="仿宋" w:eastAsia="仿宋" w:cs="宋体"/>
          <w:color w:val="000000"/>
          <w:sz w:val="28"/>
          <w:szCs w:val="28"/>
        </w:rPr>
      </w:pPr>
      <w:r>
        <w:rPr>
          <w:rFonts w:ascii="仿宋" w:hAnsi="仿宋" w:eastAsia="仿宋" w:cs="宋体"/>
          <w:color w:val="000000"/>
          <w:sz w:val="28"/>
          <w:szCs w:val="28"/>
        </w:rPr>
        <w:t>6</w:t>
      </w:r>
      <w:r>
        <w:rPr>
          <w:rFonts w:hint="eastAsia" w:ascii="仿宋" w:hAnsi="仿宋" w:eastAsia="仿宋" w:cs="宋体"/>
          <w:color w:val="000000"/>
          <w:sz w:val="28"/>
          <w:szCs w:val="28"/>
        </w:rPr>
        <w:t>.响应人如对本询价函报价，即表示认可上述要求，且不可撤回。否则，该响应人将被记入不诚信供应商名单，在今后一年内不得参与我单位组织的任何采购活动。</w:t>
      </w:r>
    </w:p>
    <w:p>
      <w:pPr>
        <w:shd w:val="clear" w:color="auto" w:fill="FFFFFF"/>
        <w:spacing w:line="360" w:lineRule="auto"/>
        <w:ind w:firstLine="560" w:firstLineChars="200"/>
        <w:rPr>
          <w:rFonts w:ascii="仿宋" w:hAnsi="仿宋" w:eastAsia="仿宋" w:cs="宋体"/>
          <w:color w:val="000000"/>
          <w:sz w:val="28"/>
          <w:szCs w:val="28"/>
        </w:rPr>
      </w:pPr>
      <w:r>
        <w:rPr>
          <w:rFonts w:ascii="仿宋" w:hAnsi="仿宋" w:eastAsia="仿宋" w:cs="宋体"/>
          <w:color w:val="000000"/>
          <w:sz w:val="28"/>
          <w:szCs w:val="28"/>
        </w:rPr>
        <w:t>7</w:t>
      </w:r>
      <w:r>
        <w:rPr>
          <w:rFonts w:hint="eastAsia" w:ascii="仿宋" w:hAnsi="仿宋" w:eastAsia="仿宋" w:cs="宋体"/>
          <w:color w:val="000000"/>
          <w:sz w:val="28"/>
          <w:szCs w:val="28"/>
        </w:rPr>
        <w:t>.响应人的响应文件将作为合同的组成部分。</w:t>
      </w:r>
    </w:p>
    <w:p>
      <w:pPr>
        <w:spacing w:line="360" w:lineRule="auto"/>
        <w:rPr>
          <w:rFonts w:ascii="仿宋" w:hAnsi="仿宋" w:eastAsia="仿宋" w:cs="仿宋"/>
          <w:sz w:val="28"/>
          <w:szCs w:val="28"/>
          <w:lang w:bidi="ar"/>
        </w:rPr>
      </w:pPr>
      <w:r>
        <w:rPr>
          <w:rFonts w:hint="eastAsia" w:ascii="仿宋" w:hAnsi="仿宋" w:eastAsia="仿宋" w:cs="仿宋"/>
          <w:sz w:val="28"/>
          <w:szCs w:val="28"/>
          <w:lang w:bidi="ar"/>
        </w:rPr>
        <w:t>三、成交原则</w:t>
      </w:r>
    </w:p>
    <w:p>
      <w:pPr>
        <w:shd w:val="clear" w:color="auto" w:fill="FFFFFF"/>
        <w:spacing w:line="360" w:lineRule="auto"/>
        <w:ind w:firstLine="562" w:firstLineChars="200"/>
        <w:rPr>
          <w:rFonts w:ascii="仿宋" w:hAnsi="仿宋" w:eastAsia="仿宋" w:cs="宋体"/>
          <w:b/>
          <w:bCs/>
          <w:color w:val="000000"/>
          <w:sz w:val="28"/>
          <w:szCs w:val="28"/>
        </w:rPr>
      </w:pPr>
      <w:r>
        <w:rPr>
          <w:rFonts w:hint="eastAsia" w:ascii="仿宋" w:hAnsi="仿宋" w:eastAsia="仿宋" w:cs="宋体"/>
          <w:b/>
          <w:bCs/>
          <w:color w:val="000000"/>
          <w:sz w:val="28"/>
          <w:szCs w:val="28"/>
        </w:rPr>
        <w:t>在符合采购需求、质量和服务的前提下，询价小组确定最低投标报价的响应人作为成交供应商；若出现两家或两家以上投标报价最低且相等时，则由询价小组现场以抽签的方式确定成交供应商。响应人投标报价和承诺一经询价小组认可，即为成交的合同价。</w:t>
      </w:r>
    </w:p>
    <w:p>
      <w:pPr>
        <w:pStyle w:val="25"/>
        <w:numPr>
          <w:ilvl w:val="0"/>
          <w:numId w:val="2"/>
        </w:numPr>
        <w:spacing w:line="360" w:lineRule="auto"/>
        <w:ind w:firstLineChars="0"/>
        <w:rPr>
          <w:rFonts w:ascii="仿宋" w:hAnsi="仿宋" w:eastAsia="仿宋" w:cs="仿宋"/>
          <w:sz w:val="28"/>
          <w:szCs w:val="28"/>
          <w:lang w:bidi="ar"/>
        </w:rPr>
      </w:pPr>
      <w:bookmarkStart w:id="34" w:name="_Hlt503877239"/>
      <w:bookmarkEnd w:id="34"/>
      <w:r>
        <w:rPr>
          <w:rFonts w:hint="eastAsia" w:ascii="仿宋" w:hAnsi="仿宋" w:eastAsia="仿宋" w:cs="仿宋"/>
          <w:sz w:val="28"/>
          <w:szCs w:val="28"/>
          <w:lang w:bidi="ar"/>
        </w:rPr>
        <w:t>成交服务费</w:t>
      </w:r>
    </w:p>
    <w:p>
      <w:pPr>
        <w:pStyle w:val="25"/>
        <w:tabs>
          <w:tab w:val="left" w:pos="1077"/>
        </w:tabs>
        <w:spacing w:line="360" w:lineRule="auto"/>
        <w:ind w:left="240" w:firstLine="280" w:firstLineChars="100"/>
        <w:rPr>
          <w:rFonts w:ascii="仿宋" w:hAnsi="仿宋" w:eastAsia="仿宋"/>
          <w:sz w:val="28"/>
          <w:szCs w:val="28"/>
        </w:rPr>
      </w:pPr>
      <w:r>
        <w:rPr>
          <w:rFonts w:hint="eastAsia" w:ascii="仿宋" w:hAnsi="仿宋" w:eastAsia="仿宋"/>
          <w:sz w:val="28"/>
          <w:szCs w:val="28"/>
        </w:rPr>
        <w:t>（一）成交供应商应在成交结果公告确定成交后三（3）个工作日向登录“中达通采交易平台”交纳成交服务费。</w:t>
      </w:r>
    </w:p>
    <w:p>
      <w:pPr>
        <w:pStyle w:val="25"/>
        <w:tabs>
          <w:tab w:val="left" w:pos="1077"/>
        </w:tabs>
        <w:spacing w:line="360" w:lineRule="auto"/>
        <w:ind w:left="240" w:firstLine="280" w:firstLineChars="100"/>
        <w:rPr>
          <w:rFonts w:ascii="仿宋" w:hAnsi="仿宋" w:eastAsia="仿宋"/>
          <w:sz w:val="28"/>
          <w:szCs w:val="28"/>
        </w:rPr>
      </w:pPr>
      <w:r>
        <w:rPr>
          <w:rFonts w:hint="eastAsia" w:ascii="仿宋" w:hAnsi="仿宋" w:eastAsia="仿宋"/>
          <w:sz w:val="28"/>
          <w:szCs w:val="28"/>
        </w:rPr>
        <w:t>（二）收费标准按中标标的成交金额的1</w:t>
      </w:r>
      <w:r>
        <w:rPr>
          <w:rFonts w:ascii="仿宋" w:hAnsi="仿宋" w:eastAsia="仿宋"/>
          <w:sz w:val="28"/>
          <w:szCs w:val="28"/>
        </w:rPr>
        <w:t>%</w:t>
      </w:r>
      <w:r>
        <w:rPr>
          <w:rFonts w:hint="eastAsia" w:ascii="仿宋" w:hAnsi="仿宋" w:eastAsia="仿宋"/>
          <w:sz w:val="28"/>
          <w:szCs w:val="28"/>
        </w:rPr>
        <w:t>收取（不足3</w:t>
      </w:r>
      <w:r>
        <w:rPr>
          <w:rFonts w:ascii="仿宋" w:hAnsi="仿宋" w:eastAsia="仿宋"/>
          <w:sz w:val="28"/>
          <w:szCs w:val="28"/>
        </w:rPr>
        <w:t>00</w:t>
      </w:r>
      <w:r>
        <w:rPr>
          <w:rFonts w:hint="eastAsia" w:ascii="仿宋" w:hAnsi="仿宋" w:eastAsia="仿宋"/>
          <w:sz w:val="28"/>
          <w:szCs w:val="28"/>
        </w:rPr>
        <w:t>元的按3</w:t>
      </w:r>
      <w:r>
        <w:rPr>
          <w:rFonts w:ascii="仿宋" w:hAnsi="仿宋" w:eastAsia="仿宋"/>
          <w:sz w:val="28"/>
          <w:szCs w:val="28"/>
        </w:rPr>
        <w:t>00</w:t>
      </w:r>
      <w:r>
        <w:rPr>
          <w:rFonts w:hint="eastAsia" w:ascii="仿宋" w:hAnsi="仿宋" w:eastAsia="仿宋"/>
          <w:sz w:val="28"/>
          <w:szCs w:val="28"/>
        </w:rPr>
        <w:t>元收取）。</w:t>
      </w:r>
    </w:p>
    <w:p>
      <w:pPr>
        <w:pStyle w:val="25"/>
        <w:numPr>
          <w:ilvl w:val="0"/>
          <w:numId w:val="2"/>
        </w:numPr>
        <w:spacing w:line="360" w:lineRule="auto"/>
        <w:ind w:firstLineChars="0"/>
        <w:rPr>
          <w:rFonts w:ascii="仿宋" w:hAnsi="仿宋" w:eastAsia="仿宋" w:cs="仿宋"/>
          <w:sz w:val="28"/>
          <w:szCs w:val="28"/>
          <w:lang w:bidi="ar"/>
        </w:rPr>
      </w:pPr>
      <w:r>
        <w:rPr>
          <w:rFonts w:hint="eastAsia" w:ascii="仿宋" w:hAnsi="仿宋" w:eastAsia="仿宋" w:cs="仿宋"/>
          <w:sz w:val="28"/>
          <w:szCs w:val="28"/>
          <w:lang w:bidi="ar"/>
        </w:rPr>
        <w:t>合同的授予</w:t>
      </w:r>
    </w:p>
    <w:p>
      <w:pPr>
        <w:shd w:val="clear" w:color="auto" w:fill="FFFFFF"/>
        <w:spacing w:line="360" w:lineRule="auto"/>
        <w:ind w:firstLine="560" w:firstLineChars="200"/>
        <w:rPr>
          <w:rFonts w:ascii="仿宋" w:hAnsi="仿宋" w:eastAsia="仿宋" w:cs="宋体"/>
          <w:color w:val="000000"/>
          <w:sz w:val="28"/>
          <w:szCs w:val="28"/>
        </w:rPr>
      </w:pPr>
      <w:r>
        <w:rPr>
          <w:rFonts w:hint="eastAsia" w:ascii="仿宋" w:hAnsi="仿宋" w:eastAsia="仿宋" w:cs="宋体"/>
          <w:color w:val="000000"/>
          <w:sz w:val="28"/>
          <w:szCs w:val="28"/>
        </w:rPr>
        <w:t>（一）成交通知</w:t>
      </w:r>
    </w:p>
    <w:p>
      <w:pPr>
        <w:shd w:val="clear" w:color="auto" w:fill="FFFFFF"/>
        <w:spacing w:line="360" w:lineRule="auto"/>
        <w:ind w:firstLine="560" w:firstLineChars="200"/>
        <w:rPr>
          <w:rFonts w:ascii="仿宋" w:hAnsi="仿宋" w:eastAsia="仿宋" w:cs="宋体"/>
          <w:color w:val="000000"/>
          <w:sz w:val="28"/>
          <w:szCs w:val="28"/>
        </w:rPr>
      </w:pPr>
      <w:r>
        <w:rPr>
          <w:rFonts w:hint="eastAsia" w:ascii="仿宋" w:hAnsi="仿宋" w:eastAsia="仿宋" w:cs="宋体"/>
          <w:color w:val="000000"/>
          <w:sz w:val="28"/>
          <w:szCs w:val="28"/>
        </w:rPr>
        <w:t>成交供应商在平台缴纳成交服务费后，由平台签发《成交通知书》。</w:t>
      </w:r>
    </w:p>
    <w:p>
      <w:pPr>
        <w:shd w:val="clear" w:color="auto" w:fill="FFFFFF"/>
        <w:spacing w:line="360" w:lineRule="auto"/>
        <w:ind w:firstLine="560" w:firstLineChars="200"/>
        <w:rPr>
          <w:rFonts w:ascii="仿宋" w:hAnsi="仿宋" w:eastAsia="仿宋" w:cs="宋体"/>
          <w:color w:val="000000"/>
          <w:sz w:val="28"/>
          <w:szCs w:val="28"/>
        </w:rPr>
      </w:pPr>
      <w:r>
        <w:rPr>
          <w:rFonts w:hint="eastAsia" w:ascii="仿宋" w:hAnsi="仿宋" w:eastAsia="仿宋" w:cs="宋体"/>
          <w:color w:val="000000"/>
          <w:sz w:val="28"/>
          <w:szCs w:val="28"/>
        </w:rPr>
        <w:t>《成交通知书》将作为签订合同的重要依据，是合同的组成部分。</w:t>
      </w:r>
    </w:p>
    <w:p>
      <w:pPr>
        <w:shd w:val="clear" w:color="auto" w:fill="FFFFFF"/>
        <w:spacing w:line="360" w:lineRule="auto"/>
        <w:ind w:firstLine="560" w:firstLineChars="200"/>
        <w:rPr>
          <w:rFonts w:ascii="仿宋" w:hAnsi="仿宋" w:eastAsia="仿宋" w:cs="宋体"/>
          <w:color w:val="000000"/>
          <w:sz w:val="28"/>
          <w:szCs w:val="28"/>
        </w:rPr>
      </w:pPr>
      <w:r>
        <w:rPr>
          <w:rFonts w:hint="eastAsia" w:ascii="仿宋" w:hAnsi="仿宋" w:eastAsia="仿宋" w:cs="宋体"/>
          <w:color w:val="000000"/>
          <w:sz w:val="28"/>
          <w:szCs w:val="28"/>
        </w:rPr>
        <w:t>（二）签订合同</w:t>
      </w:r>
    </w:p>
    <w:p>
      <w:pPr>
        <w:shd w:val="clear" w:color="auto" w:fill="FFFFFF"/>
        <w:spacing w:line="360" w:lineRule="auto"/>
        <w:ind w:firstLine="560" w:firstLineChars="200"/>
        <w:rPr>
          <w:rFonts w:ascii="仿宋" w:hAnsi="仿宋" w:eastAsia="仿宋" w:cs="宋体"/>
          <w:color w:val="000000"/>
          <w:sz w:val="28"/>
          <w:szCs w:val="28"/>
        </w:rPr>
      </w:pPr>
      <w:r>
        <w:rPr>
          <w:rFonts w:hint="eastAsia" w:ascii="仿宋" w:hAnsi="仿宋" w:eastAsia="仿宋" w:cs="宋体"/>
          <w:color w:val="000000"/>
          <w:sz w:val="28"/>
          <w:szCs w:val="28"/>
        </w:rPr>
        <w:t>1</w:t>
      </w:r>
      <w:r>
        <w:rPr>
          <w:rFonts w:ascii="仿宋" w:hAnsi="仿宋" w:eastAsia="仿宋" w:cs="宋体"/>
          <w:color w:val="000000"/>
          <w:sz w:val="28"/>
          <w:szCs w:val="28"/>
        </w:rPr>
        <w:t>.</w:t>
      </w:r>
      <w:r>
        <w:rPr>
          <w:rFonts w:hint="eastAsia" w:ascii="仿宋" w:hAnsi="仿宋" w:eastAsia="仿宋" w:cs="宋体"/>
          <w:color w:val="000000"/>
          <w:sz w:val="28"/>
          <w:szCs w:val="28"/>
        </w:rPr>
        <w:t>成交供应商应当自成交通知书发出之日起三十（30）个日历日内，应与采购人签订合同。</w:t>
      </w:r>
    </w:p>
    <w:p>
      <w:pPr>
        <w:shd w:val="clear" w:color="auto" w:fill="FFFFFF"/>
        <w:spacing w:line="360" w:lineRule="auto"/>
        <w:ind w:firstLine="560" w:firstLineChars="200"/>
        <w:rPr>
          <w:rFonts w:ascii="仿宋" w:hAnsi="仿宋" w:eastAsia="仿宋" w:cs="宋体"/>
          <w:color w:val="000000"/>
          <w:sz w:val="28"/>
          <w:szCs w:val="28"/>
        </w:rPr>
      </w:pPr>
      <w:r>
        <w:rPr>
          <w:rFonts w:ascii="仿宋" w:hAnsi="仿宋" w:eastAsia="仿宋" w:cs="宋体"/>
          <w:color w:val="000000"/>
          <w:sz w:val="28"/>
          <w:szCs w:val="28"/>
        </w:rPr>
        <w:t>2.</w:t>
      </w:r>
      <w:r>
        <w:rPr>
          <w:rFonts w:hint="eastAsia" w:ascii="仿宋" w:hAnsi="仿宋" w:eastAsia="仿宋" w:cs="宋体"/>
          <w:color w:val="000000"/>
          <w:sz w:val="28"/>
          <w:szCs w:val="28"/>
        </w:rPr>
        <w:t>、询价文件、成交供应商的响应文件及澄清、说明或者更正文件等，均为签订合同的依据。</w:t>
      </w:r>
    </w:p>
    <w:p>
      <w:pPr>
        <w:shd w:val="clear" w:color="auto" w:fill="FFFFFF"/>
        <w:spacing w:line="360" w:lineRule="auto"/>
        <w:ind w:firstLine="562" w:firstLineChars="200"/>
        <w:rPr>
          <w:rFonts w:ascii="仿宋" w:hAnsi="仿宋" w:eastAsia="仿宋" w:cs="宋体"/>
          <w:b/>
          <w:bCs/>
          <w:color w:val="000000"/>
          <w:sz w:val="28"/>
          <w:szCs w:val="28"/>
        </w:rPr>
      </w:pPr>
    </w:p>
    <w:p>
      <w:pPr>
        <w:shd w:val="clear" w:color="auto" w:fill="FFFFFF"/>
        <w:spacing w:line="360" w:lineRule="auto"/>
        <w:ind w:firstLine="562" w:firstLineChars="200"/>
        <w:rPr>
          <w:rFonts w:ascii="仿宋" w:hAnsi="仿宋" w:eastAsia="仿宋" w:cs="宋体"/>
          <w:b/>
          <w:bCs/>
          <w:color w:val="000000"/>
          <w:sz w:val="28"/>
          <w:szCs w:val="28"/>
        </w:rPr>
      </w:pPr>
    </w:p>
    <w:p>
      <w:pPr>
        <w:widowControl/>
        <w:spacing w:line="360" w:lineRule="auto"/>
        <w:jc w:val="center"/>
        <w:rPr>
          <w:rFonts w:ascii="仿宋" w:hAnsi="仿宋" w:eastAsia="仿宋" w:cs="宋体"/>
          <w:b/>
          <w:sz w:val="44"/>
          <w:szCs w:val="44"/>
          <w:lang w:bidi="ar"/>
        </w:rPr>
      </w:pPr>
      <w:r>
        <w:rPr>
          <w:rFonts w:hint="eastAsia" w:ascii="仿宋" w:hAnsi="仿宋" w:eastAsia="仿宋" w:cs="宋体"/>
          <w:b/>
          <w:sz w:val="44"/>
          <w:szCs w:val="44"/>
          <w:lang w:bidi="ar"/>
        </w:rPr>
        <w:t>第五部分 合同范本（参考）</w:t>
      </w:r>
    </w:p>
    <w:p>
      <w:pPr>
        <w:shd w:val="clear" w:color="auto" w:fill="FFFFFF"/>
        <w:spacing w:line="360" w:lineRule="auto"/>
        <w:ind w:firstLine="560" w:firstLineChars="200"/>
        <w:rPr>
          <w:rFonts w:ascii="仿宋" w:hAnsi="仿宋" w:eastAsia="仿宋" w:cs="宋体"/>
          <w:color w:val="000000"/>
          <w:sz w:val="28"/>
          <w:szCs w:val="28"/>
        </w:rPr>
      </w:pPr>
    </w:p>
    <w:p>
      <w:pPr>
        <w:spacing w:line="360" w:lineRule="auto"/>
        <w:jc w:val="center"/>
        <w:rPr>
          <w:rFonts w:ascii="宋体" w:hAnsi="宋体"/>
          <w:color w:val="000000"/>
          <w:sz w:val="28"/>
          <w:szCs w:val="18"/>
        </w:rPr>
      </w:pPr>
      <w:r>
        <w:rPr>
          <w:rFonts w:ascii="宋体" w:hAnsi="宋体"/>
          <w:color w:val="000000"/>
          <w:kern w:val="0"/>
          <w:sz w:val="28"/>
          <w:szCs w:val="18"/>
        </w:rPr>
        <w:t>合同主要条款</w:t>
      </w:r>
    </w:p>
    <w:p>
      <w:pPr>
        <w:spacing w:line="360" w:lineRule="auto"/>
        <w:jc w:val="center"/>
        <w:rPr>
          <w:rFonts w:ascii="宋体" w:hAnsi="宋体"/>
          <w:color w:val="000000"/>
          <w:sz w:val="28"/>
          <w:szCs w:val="18"/>
        </w:rPr>
      </w:pPr>
      <w:r>
        <w:rPr>
          <w:rFonts w:hint="eastAsia" w:ascii="宋体" w:hAnsi="宋体"/>
          <w:color w:val="000000"/>
          <w:kern w:val="0"/>
          <w:sz w:val="28"/>
          <w:szCs w:val="18"/>
        </w:rPr>
        <w:t>（参考）</w:t>
      </w:r>
    </w:p>
    <w:p>
      <w:pPr>
        <w:spacing w:line="360" w:lineRule="auto"/>
        <w:jc w:val="center"/>
        <w:rPr>
          <w:rFonts w:ascii="宋体" w:hAnsi="宋体"/>
          <w:color w:val="000000"/>
          <w:sz w:val="28"/>
          <w:szCs w:val="18"/>
        </w:rPr>
      </w:pPr>
    </w:p>
    <w:p>
      <w:pPr>
        <w:tabs>
          <w:tab w:val="left" w:pos="3640"/>
        </w:tabs>
        <w:autoSpaceDE w:val="0"/>
        <w:autoSpaceDN w:val="0"/>
        <w:spacing w:line="360" w:lineRule="auto"/>
        <w:rPr>
          <w:rFonts w:ascii="宋体"/>
          <w:sz w:val="24"/>
          <w:u w:val="single"/>
        </w:rPr>
      </w:pPr>
      <w:r>
        <w:rPr>
          <w:rFonts w:hint="eastAsia" w:ascii="宋体" w:hAnsi="宋体" w:cs="宋体"/>
          <w:sz w:val="24"/>
        </w:rPr>
        <w:t>甲方（采购人）：</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u w:val="single"/>
        </w:rPr>
        <w:t xml:space="preserve">       </w:t>
      </w:r>
    </w:p>
    <w:p>
      <w:pPr>
        <w:tabs>
          <w:tab w:val="left" w:pos="3640"/>
        </w:tabs>
        <w:autoSpaceDE w:val="0"/>
        <w:autoSpaceDN w:val="0"/>
        <w:spacing w:line="360" w:lineRule="auto"/>
        <w:rPr>
          <w:rFonts w:ascii="宋体"/>
          <w:sz w:val="24"/>
          <w:u w:val="single"/>
        </w:rPr>
      </w:pPr>
      <w:r>
        <w:rPr>
          <w:rFonts w:hint="eastAsia" w:ascii="宋体" w:hAnsi="宋体" w:cs="宋体"/>
          <w:sz w:val="24"/>
        </w:rPr>
        <w:t>乙方（成交供应商）：</w:t>
      </w:r>
      <w:r>
        <w:rPr>
          <w:rFonts w:hint="eastAsia" w:ascii="宋体" w:hAnsi="宋体" w:cs="宋体"/>
          <w:sz w:val="24"/>
          <w:u w:val="single"/>
        </w:rPr>
        <w:t xml:space="preserve">                           </w:t>
      </w:r>
    </w:p>
    <w:p>
      <w:pPr>
        <w:tabs>
          <w:tab w:val="left" w:pos="3640"/>
        </w:tabs>
        <w:autoSpaceDE w:val="0"/>
        <w:autoSpaceDN w:val="0"/>
        <w:spacing w:line="360" w:lineRule="auto"/>
        <w:ind w:firstLine="480" w:firstLineChars="200"/>
        <w:rPr>
          <w:rFonts w:ascii="宋体" w:hAnsi="宋体" w:cs="宋体"/>
          <w:sz w:val="24"/>
        </w:rPr>
      </w:pPr>
      <w:r>
        <w:rPr>
          <w:rFonts w:hint="eastAsia" w:ascii="宋体" w:hAnsi="宋体" w:cs="宋体"/>
          <w:sz w:val="24"/>
        </w:rPr>
        <w:t>根据《中华人民共和国民法典》及</w:t>
      </w:r>
      <w:r>
        <w:rPr>
          <w:rFonts w:hint="eastAsia" w:ascii="宋体" w:hAnsi="宋体"/>
          <w:b/>
          <w:bCs/>
          <w:sz w:val="24"/>
          <w:u w:val="single"/>
        </w:rPr>
        <w:t>车载训练设备采购项目</w:t>
      </w:r>
      <w:r>
        <w:rPr>
          <w:rFonts w:hint="eastAsia" w:ascii="宋体" w:hAnsi="宋体" w:cs="宋体"/>
          <w:sz w:val="24"/>
        </w:rPr>
        <w:t>的询价函、成交供应商的报价函等，甲、乙双方经一致，签订如下合同条款，并共同遵守。</w:t>
      </w:r>
    </w:p>
    <w:p>
      <w:pPr>
        <w:tabs>
          <w:tab w:val="left" w:pos="3640"/>
        </w:tabs>
        <w:autoSpaceDE w:val="0"/>
        <w:autoSpaceDN w:val="0"/>
        <w:spacing w:line="360" w:lineRule="auto"/>
        <w:ind w:firstLine="482" w:firstLineChars="200"/>
        <w:rPr>
          <w:rFonts w:ascii="宋体" w:hAnsi="宋体" w:cs="黑体"/>
          <w:b/>
          <w:sz w:val="24"/>
        </w:rPr>
      </w:pPr>
      <w:r>
        <w:rPr>
          <w:rFonts w:hint="eastAsia" w:ascii="宋体" w:hAnsi="宋体" w:cs="黑体"/>
          <w:b/>
          <w:sz w:val="24"/>
        </w:rPr>
        <w:t>一、货物名称、规格型号、技术要求、数量及金额</w:t>
      </w:r>
    </w:p>
    <w:p>
      <w:pPr>
        <w:tabs>
          <w:tab w:val="left" w:pos="3640"/>
        </w:tabs>
        <w:autoSpaceDE w:val="0"/>
        <w:autoSpaceDN w:val="0"/>
        <w:spacing w:line="360" w:lineRule="auto"/>
        <w:ind w:firstLine="514" w:firstLineChars="200"/>
        <w:rPr>
          <w:rFonts w:ascii="宋体" w:hAnsi="宋体"/>
          <w:b/>
          <w:spacing w:val="8"/>
          <w:sz w:val="24"/>
        </w:rPr>
      </w:pPr>
      <w:r>
        <w:rPr>
          <w:rFonts w:hint="eastAsia" w:ascii="宋体" w:hAnsi="宋体"/>
          <w:b/>
          <w:spacing w:val="8"/>
          <w:sz w:val="24"/>
        </w:rPr>
        <w:t>本合同所列货物首先须满足询价函“货物需求及技术要求”要求，其次与成交供应商的报价函一致。</w:t>
      </w:r>
    </w:p>
    <w:p>
      <w:pPr>
        <w:tabs>
          <w:tab w:val="left" w:pos="3640"/>
        </w:tabs>
        <w:autoSpaceDE w:val="0"/>
        <w:autoSpaceDN w:val="0"/>
        <w:spacing w:line="360" w:lineRule="auto"/>
        <w:ind w:firstLine="514" w:firstLineChars="200"/>
        <w:rPr>
          <w:rFonts w:ascii="宋体" w:hAnsi="宋体"/>
          <w:b/>
          <w:spacing w:val="8"/>
          <w:sz w:val="24"/>
        </w:rPr>
      </w:pPr>
      <w:r>
        <w:rPr>
          <w:rFonts w:hint="eastAsia" w:ascii="宋体" w:hAnsi="宋体"/>
          <w:b/>
          <w:spacing w:val="8"/>
          <w:sz w:val="24"/>
        </w:rPr>
        <w:t>合同价（大写）</w:t>
      </w:r>
      <w:r>
        <w:rPr>
          <w:rFonts w:hint="eastAsia" w:ascii="宋体" w:hAnsi="宋体"/>
          <w:b/>
          <w:spacing w:val="8"/>
          <w:sz w:val="24"/>
          <w:u w:val="single"/>
        </w:rPr>
        <w:t xml:space="preserve"> </w:t>
      </w:r>
      <w:r>
        <w:rPr>
          <w:rFonts w:ascii="宋体" w:hAnsi="宋体"/>
          <w:b/>
          <w:spacing w:val="8"/>
          <w:sz w:val="24"/>
          <w:u w:val="single"/>
        </w:rPr>
        <w:t xml:space="preserve">        </w:t>
      </w:r>
      <w:r>
        <w:rPr>
          <w:rFonts w:hint="eastAsia" w:ascii="宋体" w:hAnsi="宋体"/>
          <w:b/>
          <w:spacing w:val="8"/>
          <w:sz w:val="24"/>
          <w:u w:val="single"/>
        </w:rPr>
        <w:t xml:space="preserve">（￥： </w:t>
      </w:r>
      <w:r>
        <w:rPr>
          <w:rFonts w:ascii="宋体" w:hAnsi="宋体"/>
          <w:b/>
          <w:spacing w:val="8"/>
          <w:sz w:val="24"/>
          <w:u w:val="single"/>
        </w:rPr>
        <w:t xml:space="preserve">   </w:t>
      </w:r>
      <w:r>
        <w:rPr>
          <w:rFonts w:hint="eastAsia" w:ascii="宋体" w:hAnsi="宋体"/>
          <w:b/>
          <w:spacing w:val="8"/>
          <w:sz w:val="24"/>
          <w:u w:val="single"/>
        </w:rPr>
        <w:t>元）</w:t>
      </w:r>
      <w:r>
        <w:rPr>
          <w:rFonts w:hint="eastAsia" w:ascii="宋体" w:hAnsi="宋体"/>
          <w:b/>
          <w:spacing w:val="8"/>
          <w:sz w:val="24"/>
        </w:rPr>
        <w:t>，包括但不限于：货物的全部价款、辅材、税费、运输、装卸、安装、调试、技术指导、培训、咨询、检测、包装等验收合格交付使用之前发生的所有费用以及技术和售后服务、招标代理服务费等其他各项与之有关所有费用</w:t>
      </w:r>
      <w:r>
        <w:rPr>
          <w:rFonts w:hint="eastAsia" w:ascii="宋体" w:hAnsi="宋体" w:cs="黑体"/>
          <w:b/>
          <w:bCs/>
          <w:sz w:val="24"/>
        </w:rPr>
        <w:t>。</w:t>
      </w:r>
    </w:p>
    <w:p>
      <w:pPr>
        <w:tabs>
          <w:tab w:val="left" w:pos="3640"/>
        </w:tabs>
        <w:autoSpaceDE w:val="0"/>
        <w:autoSpaceDN w:val="0"/>
        <w:spacing w:line="360" w:lineRule="auto"/>
        <w:ind w:firstLine="514" w:firstLineChars="200"/>
        <w:rPr>
          <w:rFonts w:ascii="宋体" w:hAnsi="宋体"/>
          <w:spacing w:val="8"/>
          <w:sz w:val="24"/>
        </w:rPr>
      </w:pPr>
      <w:r>
        <w:rPr>
          <w:rFonts w:hint="eastAsia" w:ascii="宋体" w:hAnsi="宋体"/>
          <w:b/>
          <w:spacing w:val="8"/>
          <w:sz w:val="24"/>
        </w:rPr>
        <w:t>二、保修及售后服务</w:t>
      </w:r>
      <w:r>
        <w:rPr>
          <w:rFonts w:hint="eastAsia" w:ascii="宋体" w:hAnsi="宋体"/>
          <w:spacing w:val="8"/>
          <w:sz w:val="24"/>
        </w:rPr>
        <w:t>：依据商品的保修条款、售后服务条款，询价函另有要求的从其</w:t>
      </w:r>
      <w:r>
        <w:rPr>
          <w:rFonts w:hint="eastAsia" w:ascii="宋体" w:hAnsi="宋体" w:cs="黑体"/>
          <w:sz w:val="24"/>
        </w:rPr>
        <w:t>约定</w:t>
      </w:r>
      <w:r>
        <w:rPr>
          <w:rFonts w:hint="eastAsia" w:ascii="宋体" w:hAnsi="宋体"/>
          <w:spacing w:val="8"/>
          <w:sz w:val="24"/>
        </w:rPr>
        <w:t>。</w:t>
      </w:r>
    </w:p>
    <w:p>
      <w:pPr>
        <w:tabs>
          <w:tab w:val="left" w:pos="3640"/>
        </w:tabs>
        <w:autoSpaceDE w:val="0"/>
        <w:autoSpaceDN w:val="0"/>
        <w:spacing w:line="360" w:lineRule="auto"/>
        <w:ind w:firstLine="482" w:firstLineChars="200"/>
        <w:rPr>
          <w:rFonts w:ascii="宋体" w:hAnsi="宋体" w:cs="黑体"/>
          <w:b/>
          <w:sz w:val="24"/>
        </w:rPr>
      </w:pPr>
      <w:r>
        <w:rPr>
          <w:rFonts w:hint="eastAsia" w:ascii="宋体" w:hAnsi="宋体" w:cs="黑体"/>
          <w:b/>
          <w:sz w:val="24"/>
        </w:rPr>
        <w:t>三、供货、安装及调试期：自合同签订之日起</w:t>
      </w:r>
      <w:r>
        <w:rPr>
          <w:rFonts w:ascii="宋体" w:hAnsi="宋体" w:cs="黑体"/>
          <w:b/>
          <w:sz w:val="24"/>
        </w:rPr>
        <w:t>30</w:t>
      </w:r>
      <w:r>
        <w:rPr>
          <w:rFonts w:hint="eastAsia" w:ascii="宋体" w:hAnsi="宋体" w:cs="黑体"/>
          <w:b/>
          <w:sz w:val="24"/>
        </w:rPr>
        <w:t>个日历日。</w:t>
      </w:r>
    </w:p>
    <w:p>
      <w:pPr>
        <w:tabs>
          <w:tab w:val="left" w:pos="3640"/>
        </w:tabs>
        <w:autoSpaceDE w:val="0"/>
        <w:autoSpaceDN w:val="0"/>
        <w:spacing w:line="360" w:lineRule="auto"/>
        <w:ind w:firstLine="482" w:firstLineChars="200"/>
        <w:rPr>
          <w:rFonts w:ascii="宋体" w:hAnsi="宋体" w:cs="黑体"/>
          <w:b/>
          <w:sz w:val="24"/>
        </w:rPr>
      </w:pPr>
      <w:r>
        <w:rPr>
          <w:rFonts w:hint="eastAsia" w:ascii="宋体" w:hAnsi="宋体" w:cs="黑体"/>
          <w:b/>
          <w:sz w:val="24"/>
        </w:rPr>
        <w:t>四、质保期限：</w:t>
      </w:r>
      <w:r>
        <w:rPr>
          <w:rFonts w:hint="eastAsia" w:ascii="宋体" w:hAnsi="宋体" w:cs="黑体"/>
          <w:b/>
          <w:sz w:val="24"/>
          <w:u w:val="single"/>
        </w:rPr>
        <w:t>一年</w:t>
      </w:r>
      <w:r>
        <w:rPr>
          <w:rFonts w:hint="eastAsia" w:ascii="宋体" w:hAnsi="宋体" w:cs="黑体"/>
          <w:b/>
          <w:sz w:val="24"/>
        </w:rPr>
        <w:t>。</w:t>
      </w:r>
    </w:p>
    <w:p>
      <w:pPr>
        <w:tabs>
          <w:tab w:val="left" w:pos="3640"/>
        </w:tabs>
        <w:autoSpaceDE w:val="0"/>
        <w:autoSpaceDN w:val="0"/>
        <w:spacing w:line="360" w:lineRule="auto"/>
        <w:ind w:firstLine="482" w:firstLineChars="200"/>
        <w:rPr>
          <w:rFonts w:ascii="宋体" w:hAnsi="宋体" w:cs="黑体"/>
          <w:b/>
          <w:sz w:val="24"/>
        </w:rPr>
      </w:pPr>
      <w:r>
        <w:rPr>
          <w:rFonts w:hint="eastAsia" w:ascii="宋体" w:hAnsi="宋体" w:cs="黑体"/>
          <w:b/>
          <w:sz w:val="24"/>
        </w:rPr>
        <w:t>五、</w:t>
      </w:r>
      <w:r>
        <w:rPr>
          <w:rFonts w:ascii="宋体" w:hAnsi="宋体" w:cs="黑体"/>
          <w:b/>
          <w:sz w:val="24"/>
        </w:rPr>
        <w:t>质量要求：</w:t>
      </w:r>
      <w:r>
        <w:rPr>
          <w:rFonts w:hint="eastAsia" w:ascii="宋体" w:hAnsi="宋体" w:cs="黑体"/>
          <w:b/>
          <w:sz w:val="24"/>
        </w:rPr>
        <w:t>符合国家或行业标准</w:t>
      </w:r>
      <w:r>
        <w:rPr>
          <w:rFonts w:ascii="宋体" w:hAnsi="宋体" w:cs="黑体"/>
          <w:b/>
          <w:sz w:val="24"/>
        </w:rPr>
        <w:t>。</w:t>
      </w:r>
    </w:p>
    <w:p>
      <w:pPr>
        <w:tabs>
          <w:tab w:val="left" w:pos="3640"/>
        </w:tabs>
        <w:autoSpaceDE w:val="0"/>
        <w:autoSpaceDN w:val="0"/>
        <w:spacing w:line="360" w:lineRule="auto"/>
        <w:ind w:firstLine="482" w:firstLineChars="200"/>
        <w:rPr>
          <w:rFonts w:ascii="宋体" w:hAnsi="宋体"/>
          <w:b/>
          <w:sz w:val="24"/>
        </w:rPr>
      </w:pPr>
      <w:r>
        <w:rPr>
          <w:rFonts w:hint="eastAsia" w:ascii="宋体" w:hAnsi="宋体" w:cs="黑体"/>
          <w:b/>
          <w:sz w:val="24"/>
        </w:rPr>
        <w:t>六、供货地点：采购人指定</w:t>
      </w:r>
      <w:r>
        <w:rPr>
          <w:rFonts w:ascii="宋体" w:hAnsi="宋体" w:cs="黑体"/>
          <w:b/>
          <w:sz w:val="24"/>
        </w:rPr>
        <w:t>地点</w:t>
      </w:r>
      <w:r>
        <w:rPr>
          <w:rFonts w:hint="eastAsia" w:ascii="宋体" w:hAnsi="宋体" w:cs="黑体"/>
          <w:b/>
          <w:sz w:val="24"/>
        </w:rPr>
        <w:t>。</w:t>
      </w:r>
    </w:p>
    <w:p>
      <w:pPr>
        <w:spacing w:line="360" w:lineRule="auto"/>
        <w:ind w:firstLine="482" w:firstLineChars="200"/>
        <w:rPr>
          <w:rFonts w:ascii="宋体" w:hAnsi="宋体" w:cs="黑体"/>
          <w:b/>
          <w:bCs/>
          <w:sz w:val="24"/>
        </w:rPr>
      </w:pPr>
      <w:r>
        <w:rPr>
          <w:rFonts w:hint="eastAsia" w:ascii="宋体" w:hAnsi="宋体" w:cs="黑体"/>
          <w:b/>
          <w:sz w:val="24"/>
        </w:rPr>
        <w:t>七、</w:t>
      </w:r>
      <w:r>
        <w:rPr>
          <w:rFonts w:hint="eastAsia" w:ascii="宋体" w:hAnsi="宋体"/>
          <w:b/>
          <w:sz w:val="24"/>
        </w:rPr>
        <w:t>验收及</w:t>
      </w:r>
      <w:r>
        <w:rPr>
          <w:rFonts w:ascii="宋体" w:hAnsi="宋体"/>
          <w:b/>
          <w:sz w:val="24"/>
        </w:rPr>
        <w:t>检测</w:t>
      </w:r>
      <w:r>
        <w:rPr>
          <w:rFonts w:hint="eastAsia" w:ascii="宋体" w:hAnsi="宋体"/>
          <w:b/>
          <w:sz w:val="24"/>
        </w:rPr>
        <w:t>：</w:t>
      </w:r>
      <w:r>
        <w:rPr>
          <w:rFonts w:hint="eastAsia" w:ascii="宋体" w:hAnsi="宋体"/>
          <w:sz w:val="24"/>
        </w:rPr>
        <w:t>成交供应商提供的货物必须是全新、合格产品，完全符合国家规定的质量标准或行业的标准。</w:t>
      </w:r>
    </w:p>
    <w:p>
      <w:pPr>
        <w:spacing w:line="360" w:lineRule="auto"/>
        <w:ind w:firstLine="482" w:firstLineChars="200"/>
        <w:rPr>
          <w:rFonts w:ascii="宋体" w:hAnsi="宋体" w:cs="黑体"/>
          <w:sz w:val="24"/>
        </w:rPr>
      </w:pPr>
      <w:r>
        <w:rPr>
          <w:rFonts w:hint="eastAsia" w:ascii="宋体" w:hAnsi="宋体" w:cs="黑体"/>
          <w:b/>
          <w:sz w:val="24"/>
        </w:rPr>
        <w:t>八、付款方式：</w:t>
      </w:r>
      <w:r>
        <w:rPr>
          <w:rFonts w:hint="eastAsia" w:ascii="宋体" w:hAnsi="宋体"/>
          <w:b/>
          <w:sz w:val="24"/>
        </w:rPr>
        <w:t>见询价须知“付款方式”。</w:t>
      </w:r>
    </w:p>
    <w:p>
      <w:pPr>
        <w:spacing w:line="360" w:lineRule="auto"/>
        <w:ind w:firstLine="514" w:firstLineChars="200"/>
        <w:rPr>
          <w:rFonts w:ascii="宋体" w:hAnsi="宋体"/>
          <w:b/>
          <w:sz w:val="24"/>
        </w:rPr>
      </w:pPr>
      <w:r>
        <w:rPr>
          <w:rFonts w:hint="eastAsia" w:ascii="宋体" w:hAnsi="宋体"/>
          <w:b/>
          <w:spacing w:val="8"/>
          <w:sz w:val="24"/>
        </w:rPr>
        <w:t>十、</w:t>
      </w:r>
      <w:r>
        <w:rPr>
          <w:rFonts w:hint="eastAsia" w:ascii="宋体" w:hAnsi="宋体" w:cs="黑体"/>
          <w:b/>
          <w:sz w:val="24"/>
        </w:rPr>
        <w:t>违约责任</w:t>
      </w:r>
    </w:p>
    <w:p>
      <w:pPr>
        <w:tabs>
          <w:tab w:val="left" w:pos="3640"/>
        </w:tabs>
        <w:autoSpaceDE w:val="0"/>
        <w:autoSpaceDN w:val="0"/>
        <w:spacing w:line="360" w:lineRule="auto"/>
        <w:ind w:firstLine="512" w:firstLineChars="200"/>
        <w:rPr>
          <w:rFonts w:ascii="宋体" w:hAnsi="宋体"/>
          <w:b/>
          <w:sz w:val="24"/>
        </w:rPr>
      </w:pPr>
      <w:r>
        <w:rPr>
          <w:rFonts w:hint="eastAsia" w:ascii="宋体" w:hAnsi="宋体"/>
          <w:spacing w:val="8"/>
          <w:sz w:val="24"/>
        </w:rPr>
        <w:t>1.甲方无正当理由拒收货物，甲方向乙方偿付货款总值的</w:t>
      </w:r>
      <w:r>
        <w:rPr>
          <w:rFonts w:ascii="宋体" w:hAnsi="宋体"/>
          <w:spacing w:val="8"/>
          <w:sz w:val="24"/>
          <w:u w:val="single"/>
        </w:rPr>
        <w:t xml:space="preserve"> 5</w:t>
      </w:r>
      <w:r>
        <w:rPr>
          <w:rFonts w:hint="eastAsia" w:ascii="宋体" w:hAnsi="宋体"/>
          <w:spacing w:val="8"/>
          <w:sz w:val="24"/>
          <w:u w:val="single"/>
        </w:rPr>
        <w:t xml:space="preserve"> </w:t>
      </w:r>
      <w:r>
        <w:rPr>
          <w:rFonts w:hint="eastAsia" w:ascii="宋体" w:hAnsi="宋体"/>
          <w:spacing w:val="8"/>
          <w:sz w:val="24"/>
        </w:rPr>
        <w:t>％的违约金；</w:t>
      </w:r>
    </w:p>
    <w:p>
      <w:pPr>
        <w:tabs>
          <w:tab w:val="left" w:pos="3640"/>
        </w:tabs>
        <w:autoSpaceDE w:val="0"/>
        <w:autoSpaceDN w:val="0"/>
        <w:spacing w:line="360" w:lineRule="auto"/>
        <w:ind w:firstLine="512" w:firstLineChars="200"/>
        <w:rPr>
          <w:rFonts w:ascii="宋体" w:hAnsi="宋体"/>
          <w:b/>
          <w:sz w:val="24"/>
        </w:rPr>
      </w:pPr>
      <w:r>
        <w:rPr>
          <w:rFonts w:hint="eastAsia" w:ascii="宋体" w:hAnsi="宋体"/>
          <w:spacing w:val="8"/>
          <w:sz w:val="24"/>
        </w:rPr>
        <w:t>2.甲方无正当理由逾期付货款的，甲方向乙方每日偿付</w:t>
      </w:r>
      <w:r>
        <w:rPr>
          <w:rFonts w:ascii="宋体" w:hAnsi="宋体"/>
          <w:spacing w:val="8"/>
          <w:sz w:val="24"/>
          <w:u w:val="single"/>
        </w:rPr>
        <w:t xml:space="preserve"> 1</w:t>
      </w:r>
      <w:r>
        <w:rPr>
          <w:rFonts w:hint="eastAsia" w:ascii="宋体" w:hAnsi="宋体"/>
          <w:spacing w:val="8"/>
          <w:sz w:val="24"/>
          <w:u w:val="single"/>
        </w:rPr>
        <w:t xml:space="preserve"> </w:t>
      </w:r>
      <w:r>
        <w:rPr>
          <w:rFonts w:hint="eastAsia" w:ascii="宋体" w:hAnsi="宋体"/>
          <w:spacing w:val="8"/>
          <w:sz w:val="24"/>
        </w:rPr>
        <w:t>‰的违约金；</w:t>
      </w:r>
    </w:p>
    <w:p>
      <w:pPr>
        <w:tabs>
          <w:tab w:val="left" w:pos="3640"/>
        </w:tabs>
        <w:autoSpaceDE w:val="0"/>
        <w:autoSpaceDN w:val="0"/>
        <w:spacing w:line="360" w:lineRule="auto"/>
        <w:ind w:firstLine="512" w:firstLineChars="200"/>
        <w:rPr>
          <w:rFonts w:ascii="宋体" w:hAnsi="宋体"/>
          <w:b/>
          <w:sz w:val="24"/>
        </w:rPr>
      </w:pPr>
      <w:r>
        <w:rPr>
          <w:rFonts w:hint="eastAsia" w:ascii="宋体" w:hAnsi="宋体"/>
          <w:spacing w:val="8"/>
          <w:sz w:val="24"/>
        </w:rPr>
        <w:t>3.乙方不能交付货物的，乙方向甲方支付货款总值</w:t>
      </w:r>
      <w:r>
        <w:rPr>
          <w:rFonts w:hint="eastAsia" w:ascii="宋体" w:hAnsi="宋体"/>
          <w:spacing w:val="8"/>
          <w:sz w:val="24"/>
          <w:u w:val="single"/>
        </w:rPr>
        <w:t xml:space="preserve">  </w:t>
      </w:r>
      <w:r>
        <w:rPr>
          <w:rFonts w:ascii="宋体" w:hAnsi="宋体"/>
          <w:spacing w:val="8"/>
          <w:sz w:val="24"/>
          <w:u w:val="single"/>
        </w:rPr>
        <w:t>5</w:t>
      </w:r>
      <w:r>
        <w:rPr>
          <w:rFonts w:hint="eastAsia" w:ascii="宋体" w:hAnsi="宋体"/>
          <w:spacing w:val="8"/>
          <w:sz w:val="24"/>
          <w:u w:val="single"/>
        </w:rPr>
        <w:t xml:space="preserve">  </w:t>
      </w:r>
      <w:r>
        <w:rPr>
          <w:rFonts w:hint="eastAsia" w:ascii="宋体" w:hAnsi="宋体"/>
          <w:spacing w:val="8"/>
          <w:sz w:val="24"/>
        </w:rPr>
        <w:t>％的违约金；</w:t>
      </w:r>
    </w:p>
    <w:p>
      <w:pPr>
        <w:tabs>
          <w:tab w:val="left" w:pos="3640"/>
        </w:tabs>
        <w:autoSpaceDE w:val="0"/>
        <w:autoSpaceDN w:val="0"/>
        <w:spacing w:line="360" w:lineRule="auto"/>
        <w:ind w:firstLine="512" w:firstLineChars="200"/>
        <w:rPr>
          <w:rFonts w:ascii="宋体" w:hAnsi="宋体"/>
          <w:spacing w:val="8"/>
          <w:sz w:val="24"/>
        </w:rPr>
      </w:pPr>
      <w:r>
        <w:rPr>
          <w:rFonts w:hint="eastAsia" w:ascii="宋体" w:hAnsi="宋体"/>
          <w:spacing w:val="8"/>
          <w:sz w:val="24"/>
        </w:rPr>
        <w:t>4.乙方逾期交付货物的，乙方向甲方每日偿付货款总值的</w:t>
      </w:r>
      <w:r>
        <w:rPr>
          <w:rFonts w:hint="eastAsia" w:ascii="宋体" w:hAnsi="宋体"/>
          <w:spacing w:val="8"/>
          <w:sz w:val="24"/>
          <w:u w:val="single"/>
        </w:rPr>
        <w:t xml:space="preserve">  </w:t>
      </w:r>
      <w:r>
        <w:rPr>
          <w:rFonts w:ascii="宋体" w:hAnsi="宋体"/>
          <w:spacing w:val="8"/>
          <w:sz w:val="24"/>
          <w:u w:val="single"/>
        </w:rPr>
        <w:t>1</w:t>
      </w:r>
      <w:r>
        <w:rPr>
          <w:rFonts w:hint="eastAsia" w:ascii="宋体" w:hAnsi="宋体"/>
          <w:spacing w:val="8"/>
          <w:sz w:val="24"/>
          <w:u w:val="single"/>
        </w:rPr>
        <w:t xml:space="preserve">  </w:t>
      </w:r>
      <w:r>
        <w:rPr>
          <w:rFonts w:hint="eastAsia" w:ascii="宋体" w:hAnsi="宋体"/>
          <w:spacing w:val="8"/>
          <w:sz w:val="24"/>
        </w:rPr>
        <w:t>‰的违约金。</w:t>
      </w:r>
    </w:p>
    <w:p>
      <w:pPr>
        <w:spacing w:line="360" w:lineRule="auto"/>
        <w:ind w:left="-178" w:leftChars="-85" w:firstLine="660" w:firstLineChars="257"/>
        <w:rPr>
          <w:rFonts w:ascii="宋体" w:hAnsi="宋体"/>
          <w:b/>
          <w:spacing w:val="8"/>
          <w:sz w:val="24"/>
        </w:rPr>
      </w:pPr>
      <w:r>
        <w:rPr>
          <w:rFonts w:hint="eastAsia" w:ascii="宋体" w:hAnsi="宋体"/>
          <w:b/>
          <w:spacing w:val="8"/>
          <w:sz w:val="24"/>
        </w:rPr>
        <w:t>十一、解决合同纠纷方式</w:t>
      </w:r>
    </w:p>
    <w:p>
      <w:pPr>
        <w:spacing w:line="360" w:lineRule="auto"/>
        <w:ind w:left="-178" w:leftChars="-85" w:firstLine="657" w:firstLineChars="257"/>
        <w:rPr>
          <w:rFonts w:ascii="宋体" w:hAnsi="宋体"/>
          <w:spacing w:val="8"/>
          <w:sz w:val="24"/>
        </w:rPr>
      </w:pPr>
      <w:r>
        <w:rPr>
          <w:rFonts w:hint="eastAsia" w:ascii="宋体" w:hAnsi="宋体"/>
          <w:spacing w:val="8"/>
          <w:sz w:val="24"/>
        </w:rPr>
        <w:t>双方可以通过和解或者调解解决合同争议。有一方不愿和解、调解或者和解、调解不成的，可以根据仲裁协议向仲裁机构申请仲裁。双方没有订立仲裁协议或者仲裁协议无效的，可以向江门市人民法院起诉。</w:t>
      </w:r>
    </w:p>
    <w:p>
      <w:pPr>
        <w:spacing w:line="360" w:lineRule="auto"/>
        <w:ind w:left="-178" w:leftChars="-85" w:firstLine="660" w:firstLineChars="257"/>
        <w:rPr>
          <w:rFonts w:ascii="宋体" w:hAnsi="宋体"/>
          <w:b/>
          <w:spacing w:val="8"/>
          <w:sz w:val="24"/>
        </w:rPr>
      </w:pPr>
      <w:r>
        <w:rPr>
          <w:rFonts w:hint="eastAsia" w:ascii="宋体" w:hAnsi="宋体"/>
          <w:b/>
          <w:spacing w:val="8"/>
          <w:sz w:val="24"/>
        </w:rPr>
        <w:t>十二、</w:t>
      </w:r>
      <w:r>
        <w:rPr>
          <w:rFonts w:hint="eastAsia" w:ascii="宋体" w:hAnsi="宋体" w:cs="黑体"/>
          <w:b/>
          <w:sz w:val="24"/>
        </w:rPr>
        <w:t>本合同组成及解释先后顺序：</w:t>
      </w:r>
    </w:p>
    <w:p>
      <w:pPr>
        <w:tabs>
          <w:tab w:val="left" w:pos="3640"/>
        </w:tabs>
        <w:autoSpaceDE w:val="0"/>
        <w:autoSpaceDN w:val="0"/>
        <w:spacing w:line="360" w:lineRule="auto"/>
        <w:ind w:firstLine="480" w:firstLineChars="200"/>
        <w:rPr>
          <w:rFonts w:ascii="宋体" w:hAnsi="宋体" w:cs="黑体"/>
          <w:sz w:val="24"/>
        </w:rPr>
      </w:pPr>
      <w:r>
        <w:rPr>
          <w:rFonts w:hint="eastAsia" w:ascii="宋体" w:hAnsi="宋体" w:cs="黑体"/>
          <w:sz w:val="24"/>
        </w:rPr>
        <w:t>1.成交通知书；</w:t>
      </w:r>
    </w:p>
    <w:p>
      <w:pPr>
        <w:tabs>
          <w:tab w:val="left" w:pos="3640"/>
        </w:tabs>
        <w:autoSpaceDE w:val="0"/>
        <w:autoSpaceDN w:val="0"/>
        <w:spacing w:line="360" w:lineRule="auto"/>
        <w:ind w:firstLine="480" w:firstLineChars="200"/>
        <w:rPr>
          <w:rFonts w:ascii="宋体" w:hAnsi="宋体" w:cs="黑体"/>
          <w:sz w:val="24"/>
        </w:rPr>
      </w:pPr>
      <w:r>
        <w:rPr>
          <w:rFonts w:hint="eastAsia" w:ascii="宋体" w:hAnsi="宋体" w:cs="黑体"/>
          <w:sz w:val="24"/>
        </w:rPr>
        <w:t>2.询价函；</w:t>
      </w:r>
    </w:p>
    <w:p>
      <w:pPr>
        <w:tabs>
          <w:tab w:val="left" w:pos="3640"/>
        </w:tabs>
        <w:autoSpaceDE w:val="0"/>
        <w:autoSpaceDN w:val="0"/>
        <w:spacing w:line="360" w:lineRule="auto"/>
        <w:ind w:firstLine="480" w:firstLineChars="200"/>
        <w:rPr>
          <w:rFonts w:ascii="宋体" w:hAnsi="宋体" w:cs="黑体"/>
          <w:sz w:val="24"/>
        </w:rPr>
      </w:pPr>
      <w:r>
        <w:rPr>
          <w:rFonts w:hint="eastAsia" w:ascii="宋体" w:hAnsi="宋体" w:cs="黑体"/>
          <w:sz w:val="24"/>
        </w:rPr>
        <w:t>3.本合同文本；</w:t>
      </w:r>
    </w:p>
    <w:p>
      <w:pPr>
        <w:tabs>
          <w:tab w:val="left" w:pos="3640"/>
        </w:tabs>
        <w:autoSpaceDE w:val="0"/>
        <w:autoSpaceDN w:val="0"/>
        <w:spacing w:line="360" w:lineRule="auto"/>
        <w:ind w:firstLine="480" w:firstLineChars="200"/>
        <w:rPr>
          <w:rFonts w:ascii="宋体" w:hAnsi="宋体" w:cs="黑体"/>
          <w:sz w:val="24"/>
        </w:rPr>
      </w:pPr>
      <w:r>
        <w:rPr>
          <w:rFonts w:hint="eastAsia" w:ascii="宋体" w:hAnsi="宋体" w:cs="黑体"/>
          <w:sz w:val="24"/>
        </w:rPr>
        <w:t>4.成交供应商的报价函；</w:t>
      </w:r>
    </w:p>
    <w:p>
      <w:pPr>
        <w:tabs>
          <w:tab w:val="left" w:pos="3640"/>
        </w:tabs>
        <w:autoSpaceDE w:val="0"/>
        <w:autoSpaceDN w:val="0"/>
        <w:spacing w:line="360" w:lineRule="auto"/>
        <w:ind w:firstLine="480" w:firstLineChars="200"/>
        <w:rPr>
          <w:rFonts w:ascii="宋体" w:hAnsi="宋体" w:cs="黑体"/>
          <w:sz w:val="24"/>
        </w:rPr>
      </w:pPr>
      <w:r>
        <w:rPr>
          <w:rFonts w:hint="eastAsia" w:ascii="宋体" w:hAnsi="宋体" w:cs="黑体"/>
          <w:sz w:val="24"/>
        </w:rPr>
        <w:t>5.其他补充</w:t>
      </w:r>
      <w:r>
        <w:rPr>
          <w:rFonts w:hint="eastAsia" w:ascii="宋体" w:hAnsi="宋体" w:cs="黑体"/>
          <w:kern w:val="0"/>
          <w:sz w:val="24"/>
        </w:rPr>
        <w:t>约定</w:t>
      </w:r>
      <w:r>
        <w:rPr>
          <w:rFonts w:hint="eastAsia" w:ascii="宋体" w:hAnsi="宋体" w:cs="黑体"/>
          <w:sz w:val="24"/>
        </w:rPr>
        <w:t>事项。</w:t>
      </w:r>
    </w:p>
    <w:p>
      <w:pPr>
        <w:tabs>
          <w:tab w:val="left" w:pos="3640"/>
        </w:tabs>
        <w:autoSpaceDE w:val="0"/>
        <w:autoSpaceDN w:val="0"/>
        <w:spacing w:line="360" w:lineRule="auto"/>
        <w:ind w:firstLine="482" w:firstLineChars="200"/>
        <w:rPr>
          <w:rFonts w:ascii="宋体" w:hAnsi="宋体" w:cs="黑体"/>
          <w:b/>
          <w:sz w:val="24"/>
        </w:rPr>
      </w:pPr>
      <w:r>
        <w:rPr>
          <w:rFonts w:hint="eastAsia" w:ascii="宋体" w:hAnsi="宋体" w:cs="黑体"/>
          <w:b/>
          <w:sz w:val="24"/>
        </w:rPr>
        <w:t>十三、本合同自双方法人代表或授权代表签字并加盖公章即生效。</w:t>
      </w:r>
    </w:p>
    <w:p>
      <w:pPr>
        <w:tabs>
          <w:tab w:val="left" w:pos="3640"/>
        </w:tabs>
        <w:autoSpaceDE w:val="0"/>
        <w:autoSpaceDN w:val="0"/>
        <w:spacing w:line="360" w:lineRule="auto"/>
        <w:ind w:firstLine="482" w:firstLineChars="200"/>
        <w:rPr>
          <w:rFonts w:ascii="宋体" w:hAnsi="宋体" w:cs="黑体"/>
          <w:sz w:val="24"/>
        </w:rPr>
      </w:pPr>
      <w:r>
        <w:rPr>
          <w:rFonts w:hint="eastAsia" w:ascii="宋体" w:hAnsi="宋体" w:cs="黑体"/>
          <w:b/>
          <w:sz w:val="24"/>
        </w:rPr>
        <w:t>十四、本合同一式六份，甲、乙双方各二份，合同备案部门各执一份，均具有同等法律效力。</w:t>
      </w:r>
    </w:p>
    <w:p>
      <w:pPr>
        <w:pStyle w:val="6"/>
        <w:snapToGrid w:val="0"/>
        <w:spacing w:line="360" w:lineRule="auto"/>
        <w:ind w:firstLine="720" w:firstLineChars="300"/>
        <w:rPr>
          <w:rFonts w:hAnsi="宋体"/>
          <w:sz w:val="24"/>
          <w:szCs w:val="24"/>
        </w:rPr>
      </w:pPr>
    </w:p>
    <w:p>
      <w:pPr>
        <w:pStyle w:val="6"/>
        <w:snapToGrid w:val="0"/>
        <w:spacing w:line="360" w:lineRule="auto"/>
        <w:ind w:firstLine="720" w:firstLineChars="300"/>
        <w:rPr>
          <w:rFonts w:hAnsi="宋体"/>
          <w:sz w:val="24"/>
          <w:szCs w:val="24"/>
        </w:rPr>
      </w:pPr>
      <w:r>
        <w:rPr>
          <w:rFonts w:hint="eastAsia" w:hAnsi="宋体"/>
          <w:sz w:val="24"/>
          <w:szCs w:val="24"/>
        </w:rPr>
        <w:t xml:space="preserve">甲方：（公章）                        乙方：（公章） </w:t>
      </w:r>
    </w:p>
    <w:p>
      <w:pPr>
        <w:pStyle w:val="6"/>
        <w:snapToGrid w:val="0"/>
        <w:spacing w:line="360" w:lineRule="auto"/>
        <w:ind w:firstLine="480" w:firstLineChars="200"/>
        <w:rPr>
          <w:rFonts w:hAnsi="宋体"/>
          <w:sz w:val="24"/>
          <w:szCs w:val="24"/>
        </w:rPr>
      </w:pPr>
      <w:r>
        <w:rPr>
          <w:rFonts w:hint="eastAsia" w:hAnsi="宋体"/>
          <w:sz w:val="24"/>
          <w:szCs w:val="24"/>
        </w:rPr>
        <w:t xml:space="preserve">  法定代表人 </w:t>
      </w:r>
      <w:r>
        <w:rPr>
          <w:rFonts w:hAnsi="宋体"/>
          <w:sz w:val="24"/>
          <w:szCs w:val="24"/>
        </w:rPr>
        <w:t xml:space="preserve"> </w:t>
      </w:r>
      <w:r>
        <w:rPr>
          <w:rFonts w:hint="eastAsia" w:hAnsi="宋体"/>
          <w:sz w:val="24"/>
          <w:szCs w:val="24"/>
        </w:rPr>
        <w:t xml:space="preserve">                  </w:t>
      </w:r>
      <w:r>
        <w:rPr>
          <w:rFonts w:hAnsi="宋体"/>
          <w:sz w:val="24"/>
          <w:szCs w:val="24"/>
        </w:rPr>
        <w:t xml:space="preserve">    </w:t>
      </w:r>
      <w:r>
        <w:rPr>
          <w:rFonts w:hint="eastAsia" w:hAnsi="宋体"/>
          <w:sz w:val="24"/>
          <w:szCs w:val="24"/>
        </w:rPr>
        <w:t xml:space="preserve">   法定代表人 </w:t>
      </w:r>
    </w:p>
    <w:p>
      <w:pPr>
        <w:pStyle w:val="6"/>
        <w:snapToGrid w:val="0"/>
        <w:spacing w:line="360" w:lineRule="auto"/>
        <w:ind w:firstLine="720" w:firstLineChars="300"/>
        <w:rPr>
          <w:rFonts w:hAnsi="宋体"/>
          <w:sz w:val="24"/>
          <w:szCs w:val="24"/>
        </w:rPr>
      </w:pPr>
      <w:r>
        <w:rPr>
          <w:rFonts w:hint="eastAsia" w:hAnsi="宋体"/>
          <w:sz w:val="24"/>
          <w:szCs w:val="24"/>
        </w:rPr>
        <w:t>或授权</w:t>
      </w:r>
      <w:r>
        <w:rPr>
          <w:rFonts w:hAnsi="宋体"/>
          <w:sz w:val="24"/>
          <w:szCs w:val="24"/>
        </w:rPr>
        <w:t>委托人</w:t>
      </w:r>
      <w:r>
        <w:rPr>
          <w:rFonts w:hint="eastAsia" w:hAnsi="宋体"/>
          <w:sz w:val="24"/>
          <w:szCs w:val="24"/>
        </w:rPr>
        <w:t xml:space="preserve">：                  </w:t>
      </w:r>
      <w:r>
        <w:rPr>
          <w:rFonts w:hAnsi="宋体"/>
          <w:sz w:val="24"/>
          <w:szCs w:val="24"/>
        </w:rPr>
        <w:t xml:space="preserve"> </w:t>
      </w:r>
      <w:r>
        <w:rPr>
          <w:rFonts w:hint="eastAsia" w:hAnsi="宋体"/>
          <w:sz w:val="24"/>
          <w:szCs w:val="24"/>
        </w:rPr>
        <w:t xml:space="preserve">    或</w:t>
      </w:r>
      <w:r>
        <w:rPr>
          <w:rFonts w:hAnsi="宋体"/>
          <w:sz w:val="24"/>
          <w:szCs w:val="24"/>
        </w:rPr>
        <w:t>授权委托</w:t>
      </w:r>
      <w:r>
        <w:rPr>
          <w:rFonts w:hint="eastAsia" w:hAnsi="宋体"/>
          <w:sz w:val="24"/>
          <w:szCs w:val="24"/>
        </w:rPr>
        <w:t>人</w:t>
      </w:r>
      <w:r>
        <w:rPr>
          <w:rFonts w:hAnsi="宋体"/>
          <w:sz w:val="24"/>
          <w:szCs w:val="24"/>
        </w:rPr>
        <w:t>：</w:t>
      </w:r>
    </w:p>
    <w:p>
      <w:pPr>
        <w:pStyle w:val="6"/>
        <w:snapToGrid w:val="0"/>
        <w:spacing w:line="360" w:lineRule="auto"/>
        <w:ind w:firstLine="1200" w:firstLineChars="500"/>
        <w:rPr>
          <w:rFonts w:hAnsi="宋体"/>
          <w:sz w:val="24"/>
          <w:szCs w:val="24"/>
        </w:rPr>
      </w:pPr>
      <w:r>
        <w:rPr>
          <w:rFonts w:hint="eastAsia" w:hAnsi="宋体"/>
          <w:sz w:val="24"/>
          <w:szCs w:val="24"/>
        </w:rPr>
        <w:t>（签字）                        （签字）</w:t>
      </w:r>
    </w:p>
    <w:p>
      <w:pPr>
        <w:pStyle w:val="6"/>
        <w:snapToGrid w:val="0"/>
        <w:spacing w:line="360" w:lineRule="auto"/>
        <w:ind w:firstLine="708" w:firstLineChars="295"/>
        <w:rPr>
          <w:rFonts w:hAnsi="宋体"/>
          <w:color w:val="000000"/>
          <w:sz w:val="28"/>
          <w:szCs w:val="18"/>
        </w:rPr>
      </w:pPr>
      <w:r>
        <w:rPr>
          <w:rFonts w:hint="eastAsia" w:hAnsi="宋体"/>
          <w:sz w:val="24"/>
          <w:szCs w:val="24"/>
        </w:rPr>
        <w:t xml:space="preserve">日期： </w:t>
      </w:r>
      <w:r>
        <w:rPr>
          <w:rFonts w:hAnsi="宋体"/>
          <w:sz w:val="24"/>
          <w:szCs w:val="24"/>
        </w:rPr>
        <w:t xml:space="preserve">   </w:t>
      </w:r>
      <w:r>
        <w:rPr>
          <w:rFonts w:hint="eastAsia" w:hAnsi="宋体"/>
          <w:sz w:val="24"/>
          <w:szCs w:val="24"/>
        </w:rPr>
        <w:t xml:space="preserve">年 </w:t>
      </w:r>
      <w:r>
        <w:rPr>
          <w:rFonts w:hAnsi="宋体"/>
          <w:sz w:val="24"/>
          <w:szCs w:val="24"/>
        </w:rPr>
        <w:t xml:space="preserve">   </w:t>
      </w:r>
      <w:r>
        <w:rPr>
          <w:rFonts w:hint="eastAsia" w:hAnsi="宋体"/>
          <w:sz w:val="24"/>
          <w:szCs w:val="24"/>
        </w:rPr>
        <w:t xml:space="preserve">月 </w:t>
      </w:r>
      <w:r>
        <w:rPr>
          <w:rFonts w:hAnsi="宋体"/>
          <w:sz w:val="24"/>
          <w:szCs w:val="24"/>
        </w:rPr>
        <w:t xml:space="preserve">   </w:t>
      </w:r>
      <w:r>
        <w:rPr>
          <w:rFonts w:hint="eastAsia" w:hAnsi="宋体"/>
          <w:sz w:val="24"/>
          <w:szCs w:val="24"/>
        </w:rPr>
        <w:t xml:space="preserve">日 </w:t>
      </w:r>
      <w:r>
        <w:rPr>
          <w:rFonts w:hAnsi="宋体"/>
          <w:sz w:val="24"/>
          <w:szCs w:val="24"/>
        </w:rPr>
        <w:t xml:space="preserve">            </w:t>
      </w:r>
      <w:r>
        <w:rPr>
          <w:rFonts w:hint="eastAsia" w:hAnsi="宋体"/>
          <w:sz w:val="24"/>
          <w:szCs w:val="24"/>
        </w:rPr>
        <w:t xml:space="preserve">日期： </w:t>
      </w:r>
      <w:r>
        <w:rPr>
          <w:rFonts w:hAnsi="宋体"/>
          <w:sz w:val="24"/>
          <w:szCs w:val="24"/>
        </w:rPr>
        <w:t xml:space="preserve">    </w:t>
      </w:r>
      <w:r>
        <w:rPr>
          <w:rFonts w:hint="eastAsia" w:hAnsi="宋体"/>
          <w:sz w:val="24"/>
          <w:szCs w:val="24"/>
        </w:rPr>
        <w:t xml:space="preserve">年 </w:t>
      </w:r>
      <w:r>
        <w:rPr>
          <w:rFonts w:hAnsi="宋体"/>
          <w:sz w:val="24"/>
          <w:szCs w:val="24"/>
        </w:rPr>
        <w:t xml:space="preserve">    </w:t>
      </w:r>
      <w:r>
        <w:rPr>
          <w:rFonts w:hint="eastAsia" w:hAnsi="宋体"/>
          <w:sz w:val="24"/>
          <w:szCs w:val="24"/>
        </w:rPr>
        <w:t xml:space="preserve">月 </w:t>
      </w:r>
      <w:r>
        <w:rPr>
          <w:rFonts w:hAnsi="宋体"/>
          <w:sz w:val="24"/>
          <w:szCs w:val="24"/>
        </w:rPr>
        <w:t xml:space="preserve">    </w:t>
      </w:r>
      <w:r>
        <w:rPr>
          <w:rFonts w:hint="eastAsia" w:hAnsi="宋体"/>
          <w:sz w:val="24"/>
          <w:szCs w:val="24"/>
        </w:rPr>
        <w:t>日</w:t>
      </w:r>
    </w:p>
    <w:p>
      <w:pPr>
        <w:spacing w:line="360" w:lineRule="auto"/>
        <w:ind w:firstLine="6160" w:firstLineChars="2200"/>
        <w:rPr>
          <w:rFonts w:ascii="仿宋" w:hAnsi="仿宋" w:eastAsia="仿宋" w:cs="华文仿宋"/>
          <w:sz w:val="28"/>
          <w:szCs w:val="28"/>
        </w:rPr>
      </w:pPr>
    </w:p>
    <w:p>
      <w:pPr>
        <w:pStyle w:val="12"/>
        <w:spacing w:line="360" w:lineRule="auto"/>
        <w:ind w:firstLine="560"/>
        <w:jc w:val="center"/>
        <w:rPr>
          <w:rFonts w:ascii="仿宋" w:hAnsi="仿宋" w:eastAsia="仿宋" w:cs="华文仿宋"/>
          <w:sz w:val="28"/>
          <w:szCs w:val="28"/>
        </w:rPr>
      </w:pPr>
      <w:r>
        <w:rPr>
          <w:rFonts w:hint="eastAsia" w:ascii="仿宋" w:hAnsi="仿宋" w:eastAsia="仿宋" w:cs="华文仿宋"/>
          <w:sz w:val="28"/>
          <w:szCs w:val="28"/>
        </w:rPr>
        <w:br w:type="page"/>
      </w:r>
    </w:p>
    <w:p>
      <w:pPr>
        <w:widowControl/>
        <w:spacing w:line="360" w:lineRule="auto"/>
        <w:jc w:val="center"/>
        <w:rPr>
          <w:rFonts w:ascii="仿宋" w:hAnsi="仿宋" w:eastAsia="仿宋" w:cs="宋体"/>
          <w:b/>
          <w:sz w:val="44"/>
          <w:szCs w:val="44"/>
          <w:lang w:bidi="ar"/>
        </w:rPr>
      </w:pPr>
      <w:r>
        <w:rPr>
          <w:rFonts w:hint="eastAsia" w:ascii="仿宋" w:hAnsi="仿宋" w:eastAsia="仿宋" w:cs="宋体"/>
          <w:b/>
          <w:sz w:val="44"/>
          <w:szCs w:val="44"/>
          <w:lang w:bidi="ar"/>
        </w:rPr>
        <w:t xml:space="preserve">第六部分 </w:t>
      </w:r>
      <w:r>
        <w:rPr>
          <w:rFonts w:ascii="仿宋" w:hAnsi="仿宋" w:eastAsia="仿宋" w:cs="宋体"/>
          <w:b/>
          <w:sz w:val="44"/>
          <w:szCs w:val="44"/>
          <w:lang w:bidi="ar"/>
        </w:rPr>
        <w:t xml:space="preserve"> </w:t>
      </w:r>
      <w:r>
        <w:rPr>
          <w:rFonts w:hint="eastAsia" w:ascii="仿宋" w:hAnsi="仿宋" w:eastAsia="仿宋" w:cs="宋体"/>
          <w:b/>
          <w:sz w:val="44"/>
          <w:szCs w:val="44"/>
          <w:lang w:bidi="ar"/>
        </w:rPr>
        <w:t>响应文件格</w:t>
      </w:r>
      <w:bookmarkStart w:id="35" w:name="_Toc454701406"/>
      <w:bookmarkStart w:id="36" w:name="_Toc458262639"/>
      <w:bookmarkStart w:id="37" w:name="_Toc486671573"/>
      <w:bookmarkStart w:id="38" w:name="_Toc476976201"/>
      <w:bookmarkStart w:id="39" w:name="_Toc467236769"/>
      <w:bookmarkStart w:id="40" w:name="_Toc7900"/>
    </w:p>
    <w:p>
      <w:pPr>
        <w:widowControl/>
        <w:spacing w:line="360" w:lineRule="auto"/>
        <w:rPr>
          <w:sz w:val="28"/>
          <w:szCs w:val="28"/>
        </w:rPr>
      </w:pPr>
      <w:bookmarkStart w:id="41" w:name="_Toc88658844"/>
    </w:p>
    <w:p>
      <w:pPr>
        <w:widowControl/>
        <w:spacing w:line="360" w:lineRule="auto"/>
        <w:rPr>
          <w:sz w:val="28"/>
          <w:szCs w:val="28"/>
        </w:rPr>
      </w:pPr>
      <w:r>
        <w:rPr>
          <w:rFonts w:hint="eastAsia"/>
          <w:sz w:val="28"/>
          <w:szCs w:val="28"/>
        </w:rPr>
        <w:t>一、报价一览表</w:t>
      </w:r>
      <w:bookmarkEnd w:id="35"/>
      <w:bookmarkEnd w:id="36"/>
      <w:bookmarkEnd w:id="37"/>
      <w:bookmarkEnd w:id="38"/>
      <w:bookmarkEnd w:id="39"/>
      <w:bookmarkEnd w:id="41"/>
    </w:p>
    <w:p>
      <w:pPr>
        <w:widowControl/>
        <w:spacing w:line="360" w:lineRule="auto"/>
        <w:rPr>
          <w:sz w:val="28"/>
          <w:szCs w:val="28"/>
        </w:rPr>
      </w:pPr>
    </w:p>
    <w:p>
      <w:pPr>
        <w:spacing w:line="360" w:lineRule="auto"/>
        <w:jc w:val="center"/>
        <w:rPr>
          <w:rFonts w:ascii="仿宋" w:hAnsi="仿宋" w:eastAsia="仿宋" w:cs="宋体"/>
          <w:b/>
          <w:sz w:val="44"/>
          <w:szCs w:val="44"/>
          <w:lang w:bidi="ar"/>
        </w:rPr>
      </w:pPr>
      <w:r>
        <w:rPr>
          <w:rFonts w:hint="eastAsia" w:ascii="仿宋" w:hAnsi="仿宋" w:eastAsia="仿宋" w:cs="宋体"/>
          <w:b/>
          <w:sz w:val="44"/>
          <w:szCs w:val="44"/>
          <w:lang w:bidi="ar"/>
        </w:rPr>
        <w:t>报价一览表</w:t>
      </w:r>
    </w:p>
    <w:p>
      <w:pPr>
        <w:tabs>
          <w:tab w:val="right" w:pos="8647"/>
        </w:tabs>
        <w:spacing w:line="360" w:lineRule="auto"/>
        <w:ind w:firstLine="482" w:firstLineChars="200"/>
        <w:rPr>
          <w:rFonts w:ascii="宋体" w:hAnsi="宋体"/>
          <w:b/>
          <w:bCs/>
          <w:sz w:val="24"/>
          <w:szCs w:val="24"/>
        </w:rPr>
      </w:pPr>
      <w:r>
        <w:rPr>
          <w:rFonts w:hint="eastAsia" w:ascii="宋体" w:hAnsi="宋体"/>
          <w:b/>
          <w:sz w:val="24"/>
          <w:szCs w:val="24"/>
        </w:rPr>
        <w:t>采购编号：</w:t>
      </w:r>
      <w:r>
        <w:rPr>
          <w:rFonts w:hint="eastAsia" w:ascii="宋体" w:hAnsi="宋体"/>
          <w:b/>
          <w:sz w:val="24"/>
          <w:szCs w:val="24"/>
        </w:rPr>
        <w:tab/>
      </w:r>
      <w:r>
        <w:rPr>
          <w:rFonts w:hint="eastAsia" w:ascii="宋体" w:hAnsi="宋体"/>
          <w:b/>
          <w:sz w:val="24"/>
          <w:szCs w:val="24"/>
        </w:rPr>
        <w:t>报价单位：人民币</w:t>
      </w:r>
    </w:p>
    <w:tbl>
      <w:tblPr>
        <w:tblStyle w:val="13"/>
        <w:tblW w:w="0" w:type="auto"/>
        <w:tblInd w:w="-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91"/>
        <w:gridCol w:w="3869"/>
        <w:gridCol w:w="17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0" w:hRule="atLeast"/>
        </w:trPr>
        <w:tc>
          <w:tcPr>
            <w:tcW w:w="3591" w:type="dxa"/>
            <w:tcBorders>
              <w:left w:val="single" w:color="000000" w:sz="4" w:space="0"/>
              <w:bottom w:val="nil"/>
            </w:tcBorders>
            <w:vAlign w:val="center"/>
          </w:tcPr>
          <w:p>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b/>
                <w:bCs/>
                <w:sz w:val="24"/>
              </w:rPr>
            </w:pPr>
            <w:r>
              <w:rPr>
                <w:rFonts w:hint="eastAsia" w:ascii="宋体" w:hAnsi="宋体"/>
                <w:b/>
                <w:bCs/>
                <w:sz w:val="24"/>
              </w:rPr>
              <w:t>供应商名称</w:t>
            </w:r>
          </w:p>
        </w:tc>
        <w:tc>
          <w:tcPr>
            <w:tcW w:w="3869" w:type="dxa"/>
            <w:tcBorders>
              <w:left w:val="single" w:color="000000" w:sz="4" w:space="0"/>
              <w:bottom w:val="single" w:color="auto" w:sz="4" w:space="0"/>
            </w:tcBorders>
            <w:vAlign w:val="center"/>
          </w:tcPr>
          <w:p>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b/>
                <w:bCs/>
                <w:sz w:val="24"/>
              </w:rPr>
            </w:pPr>
            <w:r>
              <w:rPr>
                <w:rFonts w:hint="eastAsia" w:ascii="宋体" w:hAnsi="宋体"/>
                <w:b/>
                <w:bCs/>
                <w:sz w:val="24"/>
              </w:rPr>
              <w:t>项目总报价</w:t>
            </w:r>
          </w:p>
        </w:tc>
        <w:tc>
          <w:tcPr>
            <w:tcW w:w="1756" w:type="dxa"/>
            <w:tcBorders>
              <w:left w:val="single" w:color="000000" w:sz="4" w:space="0"/>
              <w:bottom w:val="single" w:color="auto" w:sz="4" w:space="0"/>
            </w:tcBorders>
            <w:vAlign w:val="center"/>
          </w:tcPr>
          <w:p>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b/>
                <w:bCs/>
                <w:sz w:val="24"/>
              </w:rPr>
            </w:pPr>
            <w:r>
              <w:rPr>
                <w:rFonts w:hint="eastAsia" w:ascii="宋体" w:hAnsi="宋体"/>
                <w:b/>
                <w:bCs/>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9" w:hRule="atLeast"/>
        </w:trPr>
        <w:tc>
          <w:tcPr>
            <w:tcW w:w="3591" w:type="dxa"/>
            <w:vMerge w:val="restart"/>
            <w:tcBorders>
              <w:left w:val="single" w:color="000000" w:sz="4" w:space="0"/>
            </w:tcBorders>
            <w:vAlign w:val="center"/>
          </w:tcPr>
          <w:p>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sz w:val="24"/>
              </w:rPr>
            </w:pPr>
          </w:p>
        </w:tc>
        <w:tc>
          <w:tcPr>
            <w:tcW w:w="3869" w:type="dxa"/>
            <w:tcBorders>
              <w:left w:val="single" w:color="000000" w:sz="4" w:space="0"/>
            </w:tcBorders>
            <w:vAlign w:val="center"/>
          </w:tcPr>
          <w:p>
            <w:pPr>
              <w:spacing w:line="360" w:lineRule="auto"/>
              <w:jc w:val="center"/>
              <w:rPr>
                <w:rFonts w:ascii="宋体" w:hAnsi="宋体"/>
                <w:i/>
                <w:iCs/>
                <w:sz w:val="24"/>
              </w:rPr>
            </w:pPr>
            <w:r>
              <w:rPr>
                <w:rFonts w:hint="eastAsia" w:ascii="宋体" w:hAnsi="宋体"/>
                <w:i/>
                <w:iCs/>
                <w:sz w:val="24"/>
              </w:rPr>
              <w:t>（小写金额）</w:t>
            </w:r>
          </w:p>
        </w:tc>
        <w:tc>
          <w:tcPr>
            <w:tcW w:w="1756" w:type="dxa"/>
            <w:vMerge w:val="restart"/>
            <w:tcBorders>
              <w:left w:val="single" w:color="000000" w:sz="4" w:space="0"/>
            </w:tcBorders>
            <w:vAlign w:val="center"/>
          </w:tcPr>
          <w:p>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9" w:hRule="atLeast"/>
        </w:trPr>
        <w:tc>
          <w:tcPr>
            <w:tcW w:w="3591" w:type="dxa"/>
            <w:vMerge w:val="continue"/>
            <w:tcBorders>
              <w:left w:val="single" w:color="000000" w:sz="4" w:space="0"/>
            </w:tcBorders>
            <w:vAlign w:val="center"/>
          </w:tcPr>
          <w:p>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sz w:val="24"/>
              </w:rPr>
            </w:pPr>
          </w:p>
        </w:tc>
        <w:tc>
          <w:tcPr>
            <w:tcW w:w="3869" w:type="dxa"/>
            <w:tcBorders>
              <w:left w:val="single" w:color="000000" w:sz="4" w:space="0"/>
            </w:tcBorders>
            <w:vAlign w:val="center"/>
          </w:tcPr>
          <w:p>
            <w:pPr>
              <w:spacing w:line="360" w:lineRule="auto"/>
              <w:jc w:val="center"/>
              <w:rPr>
                <w:rFonts w:ascii="宋体" w:hAnsi="宋体"/>
                <w:i/>
                <w:iCs/>
                <w:sz w:val="24"/>
              </w:rPr>
            </w:pPr>
            <w:r>
              <w:rPr>
                <w:rFonts w:hint="eastAsia" w:ascii="宋体" w:hAnsi="宋体"/>
                <w:i/>
                <w:iCs/>
                <w:sz w:val="24"/>
              </w:rPr>
              <w:t>（大写金额）</w:t>
            </w:r>
          </w:p>
        </w:tc>
        <w:tc>
          <w:tcPr>
            <w:tcW w:w="1756" w:type="dxa"/>
            <w:vMerge w:val="continue"/>
            <w:tcBorders>
              <w:left w:val="single" w:color="000000" w:sz="4" w:space="0"/>
            </w:tcBorders>
            <w:vAlign w:val="center"/>
          </w:tcPr>
          <w:p>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sz w:val="24"/>
              </w:rPr>
            </w:pPr>
          </w:p>
        </w:tc>
      </w:tr>
    </w:tbl>
    <w:p>
      <w:pPr>
        <w:tabs>
          <w:tab w:val="left" w:pos="654"/>
          <w:tab w:val="left" w:pos="1734"/>
          <w:tab w:val="left" w:pos="2814"/>
          <w:tab w:val="left" w:pos="3894"/>
          <w:tab w:val="left" w:pos="5334"/>
          <w:tab w:val="left" w:pos="6414"/>
          <w:tab w:val="left" w:pos="7254"/>
          <w:tab w:val="left" w:pos="8574"/>
          <w:tab w:val="left" w:pos="9654"/>
        </w:tabs>
        <w:spacing w:line="360" w:lineRule="auto"/>
        <w:ind w:firstLine="480" w:firstLineChars="200"/>
        <w:rPr>
          <w:rFonts w:ascii="宋体" w:hAnsi="宋体"/>
          <w:sz w:val="24"/>
          <w:szCs w:val="24"/>
        </w:rPr>
      </w:pPr>
    </w:p>
    <w:p>
      <w:pPr>
        <w:tabs>
          <w:tab w:val="left" w:pos="654"/>
          <w:tab w:val="left" w:pos="1734"/>
          <w:tab w:val="left" w:pos="2814"/>
          <w:tab w:val="left" w:pos="3894"/>
          <w:tab w:val="left" w:pos="5334"/>
          <w:tab w:val="left" w:pos="6414"/>
          <w:tab w:val="left" w:pos="7254"/>
          <w:tab w:val="left" w:pos="8574"/>
          <w:tab w:val="left" w:pos="9654"/>
        </w:tabs>
        <w:spacing w:line="360" w:lineRule="auto"/>
        <w:ind w:firstLine="480" w:firstLineChars="200"/>
        <w:rPr>
          <w:rFonts w:ascii="宋体" w:hAnsi="宋体"/>
          <w:sz w:val="24"/>
          <w:szCs w:val="24"/>
        </w:rPr>
      </w:pPr>
    </w:p>
    <w:p>
      <w:pPr>
        <w:tabs>
          <w:tab w:val="left" w:pos="654"/>
          <w:tab w:val="left" w:pos="1734"/>
          <w:tab w:val="left" w:pos="2814"/>
          <w:tab w:val="left" w:pos="3894"/>
          <w:tab w:val="left" w:pos="5334"/>
          <w:tab w:val="left" w:pos="6414"/>
          <w:tab w:val="left" w:pos="7254"/>
          <w:tab w:val="left" w:pos="8574"/>
          <w:tab w:val="left" w:pos="9654"/>
        </w:tabs>
        <w:spacing w:line="360" w:lineRule="auto"/>
        <w:ind w:firstLine="527"/>
        <w:rPr>
          <w:rFonts w:ascii="宋体" w:hAnsi="宋体"/>
          <w:b/>
          <w:sz w:val="24"/>
          <w:szCs w:val="24"/>
        </w:rPr>
      </w:pPr>
      <w:r>
        <w:rPr>
          <w:rFonts w:hint="eastAsia" w:ascii="宋体" w:hAnsi="宋体"/>
          <w:b/>
          <w:sz w:val="24"/>
          <w:szCs w:val="24"/>
        </w:rPr>
        <w:t>注：1</w:t>
      </w:r>
      <w:r>
        <w:rPr>
          <w:rFonts w:ascii="宋体" w:hAnsi="宋体"/>
          <w:b/>
          <w:sz w:val="24"/>
          <w:szCs w:val="24"/>
        </w:rPr>
        <w:t>.</w:t>
      </w:r>
      <w:r>
        <w:rPr>
          <w:rFonts w:hint="eastAsia" w:ascii="宋体" w:hAnsi="宋体"/>
          <w:b/>
          <w:bCs/>
          <w:sz w:val="24"/>
          <w:szCs w:val="24"/>
        </w:rPr>
        <w:t>报价应为该项目总价，即含税全包价。以人民币为结算单位。</w:t>
      </w:r>
    </w:p>
    <w:p>
      <w:pPr>
        <w:tabs>
          <w:tab w:val="left" w:pos="654"/>
          <w:tab w:val="left" w:pos="1734"/>
          <w:tab w:val="left" w:pos="2814"/>
          <w:tab w:val="left" w:pos="3894"/>
          <w:tab w:val="left" w:pos="5334"/>
          <w:tab w:val="left" w:pos="6414"/>
          <w:tab w:val="left" w:pos="7254"/>
          <w:tab w:val="left" w:pos="8574"/>
          <w:tab w:val="left" w:pos="9654"/>
        </w:tabs>
        <w:spacing w:line="360" w:lineRule="auto"/>
        <w:ind w:firstLine="993"/>
        <w:rPr>
          <w:rFonts w:ascii="宋体" w:hAnsi="宋体"/>
          <w:sz w:val="24"/>
          <w:szCs w:val="24"/>
        </w:rPr>
      </w:pPr>
      <w:r>
        <w:rPr>
          <w:rFonts w:ascii="宋体" w:hAnsi="宋体"/>
          <w:sz w:val="24"/>
          <w:szCs w:val="24"/>
        </w:rPr>
        <w:t>2.</w:t>
      </w:r>
      <w:r>
        <w:rPr>
          <w:rFonts w:hint="eastAsia" w:ascii="宋体" w:hAnsi="宋体"/>
          <w:bCs/>
          <w:sz w:val="24"/>
          <w:szCs w:val="24"/>
        </w:rPr>
        <w:t>供应商对该项目只允许有一个报价，采购人不接受任何有选择性的报价</w:t>
      </w:r>
      <w:r>
        <w:rPr>
          <w:rFonts w:hint="eastAsia" w:ascii="宋体" w:hAnsi="宋体"/>
          <w:sz w:val="24"/>
          <w:szCs w:val="24"/>
        </w:rPr>
        <w:t>。</w:t>
      </w:r>
    </w:p>
    <w:p>
      <w:pPr>
        <w:tabs>
          <w:tab w:val="left" w:pos="845"/>
        </w:tabs>
        <w:spacing w:line="360" w:lineRule="auto"/>
        <w:ind w:firstLine="991" w:firstLineChars="413"/>
        <w:rPr>
          <w:rFonts w:ascii="宋体" w:hAnsi="宋体"/>
          <w:sz w:val="24"/>
          <w:szCs w:val="24"/>
        </w:rPr>
      </w:pPr>
      <w:r>
        <w:rPr>
          <w:rFonts w:hint="eastAsia" w:ascii="宋体" w:hAnsi="宋体"/>
          <w:sz w:val="24"/>
          <w:szCs w:val="24"/>
        </w:rPr>
        <w:t>3</w:t>
      </w:r>
      <w:r>
        <w:rPr>
          <w:rFonts w:ascii="宋体" w:hAnsi="宋体"/>
          <w:sz w:val="24"/>
          <w:szCs w:val="24"/>
        </w:rPr>
        <w:t>.</w:t>
      </w:r>
      <w:r>
        <w:rPr>
          <w:rFonts w:hint="eastAsia" w:ascii="宋体" w:hAnsi="宋体"/>
          <w:sz w:val="24"/>
          <w:szCs w:val="24"/>
        </w:rPr>
        <w:t>供应商认为有必要说明而本表中无相应栏目的，请在“备注”一栏中说明。</w:t>
      </w:r>
    </w:p>
    <w:p>
      <w:pPr>
        <w:spacing w:line="360" w:lineRule="auto"/>
        <w:ind w:firstLine="480" w:firstLineChars="200"/>
        <w:rPr>
          <w:rFonts w:ascii="宋体" w:hAnsi="宋体"/>
          <w:sz w:val="24"/>
          <w:szCs w:val="24"/>
        </w:rPr>
      </w:pPr>
    </w:p>
    <w:p>
      <w:pPr>
        <w:spacing w:line="360" w:lineRule="auto"/>
        <w:ind w:firstLine="480" w:firstLineChars="200"/>
        <w:rPr>
          <w:rFonts w:ascii="宋体" w:hAnsi="宋体"/>
          <w:sz w:val="24"/>
          <w:szCs w:val="24"/>
        </w:rPr>
      </w:pPr>
    </w:p>
    <w:p>
      <w:pPr>
        <w:spacing w:line="360" w:lineRule="auto"/>
        <w:ind w:firstLine="480" w:firstLineChars="200"/>
        <w:rPr>
          <w:rFonts w:ascii="宋体" w:hAnsi="宋体"/>
          <w:sz w:val="24"/>
          <w:szCs w:val="24"/>
        </w:rPr>
      </w:pPr>
    </w:p>
    <w:p>
      <w:pPr>
        <w:tabs>
          <w:tab w:val="left" w:pos="654"/>
          <w:tab w:val="left" w:pos="1734"/>
          <w:tab w:val="left" w:pos="2814"/>
          <w:tab w:val="left" w:pos="3894"/>
          <w:tab w:val="left" w:pos="5334"/>
          <w:tab w:val="left" w:pos="6414"/>
          <w:tab w:val="left" w:pos="7254"/>
          <w:tab w:val="left" w:pos="8574"/>
          <w:tab w:val="left" w:pos="9654"/>
        </w:tabs>
        <w:spacing w:line="360" w:lineRule="auto"/>
        <w:ind w:firstLine="482" w:firstLineChars="200"/>
        <w:rPr>
          <w:rFonts w:ascii="宋体" w:hAnsi="宋体"/>
          <w:b/>
          <w:sz w:val="24"/>
          <w:szCs w:val="24"/>
          <w:u w:val="single"/>
        </w:rPr>
        <w:sectPr>
          <w:pgSz w:w="11907" w:h="16840"/>
          <w:pgMar w:top="1440" w:right="1440" w:bottom="1440" w:left="1440" w:header="851" w:footer="992" w:gutter="0"/>
          <w:cols w:space="720" w:num="1"/>
          <w:docGrid w:linePitch="410" w:charSpace="-6144"/>
        </w:sectPr>
      </w:pPr>
      <w:r>
        <w:rPr>
          <w:rFonts w:hint="eastAsia" w:ascii="宋体" w:hAnsi="宋体"/>
          <w:b/>
          <w:sz w:val="24"/>
          <w:szCs w:val="24"/>
        </w:rPr>
        <w:t>响应人代表签字及盖公章：</w:t>
      </w:r>
      <w:r>
        <w:rPr>
          <w:rFonts w:hint="eastAsia" w:ascii="宋体" w:hAnsi="宋体"/>
          <w:b/>
          <w:sz w:val="24"/>
          <w:szCs w:val="24"/>
          <w:u w:val="single"/>
        </w:rPr>
        <w:t xml:space="preserve">                     </w:t>
      </w:r>
    </w:p>
    <w:p>
      <w:pPr>
        <w:pStyle w:val="2"/>
        <w:spacing w:line="360" w:lineRule="auto"/>
        <w:rPr>
          <w:rFonts w:ascii="仿宋" w:hAnsi="仿宋" w:eastAsia="仿宋" w:cs="宋体"/>
          <w:sz w:val="28"/>
          <w:szCs w:val="28"/>
        </w:rPr>
      </w:pPr>
      <w:r>
        <w:rPr>
          <w:rFonts w:hint="eastAsia" w:ascii="仿宋" w:hAnsi="仿宋" w:eastAsia="仿宋" w:cs="宋体"/>
          <w:sz w:val="28"/>
          <w:szCs w:val="28"/>
        </w:rPr>
        <w:t>二</w:t>
      </w:r>
      <w:r>
        <w:rPr>
          <w:rFonts w:ascii="仿宋" w:hAnsi="仿宋" w:eastAsia="仿宋" w:cs="宋体"/>
          <w:sz w:val="28"/>
          <w:szCs w:val="28"/>
        </w:rPr>
        <w:t>、承诺函</w:t>
      </w:r>
      <w:bookmarkEnd w:id="40"/>
    </w:p>
    <w:p>
      <w:pPr>
        <w:spacing w:line="360" w:lineRule="auto"/>
        <w:rPr>
          <w:rFonts w:ascii="仿宋" w:hAnsi="仿宋" w:eastAsia="仿宋"/>
          <w:sz w:val="28"/>
          <w:szCs w:val="28"/>
        </w:rPr>
      </w:pPr>
    </w:p>
    <w:p>
      <w:pPr>
        <w:spacing w:line="360" w:lineRule="auto"/>
        <w:ind w:right="6"/>
        <w:jc w:val="center"/>
        <w:rPr>
          <w:rFonts w:ascii="仿宋" w:hAnsi="仿宋" w:eastAsia="仿宋"/>
          <w:b/>
          <w:sz w:val="28"/>
          <w:szCs w:val="28"/>
        </w:rPr>
      </w:pPr>
      <w:r>
        <w:rPr>
          <w:rFonts w:hint="eastAsia" w:ascii="仿宋" w:hAnsi="仿宋" w:eastAsia="仿宋"/>
          <w:b/>
          <w:sz w:val="28"/>
          <w:szCs w:val="28"/>
        </w:rPr>
        <w:t>承诺函</w:t>
      </w:r>
    </w:p>
    <w:p>
      <w:pPr>
        <w:spacing w:line="360" w:lineRule="auto"/>
        <w:rPr>
          <w:rFonts w:ascii="仿宋" w:hAnsi="仿宋" w:eastAsia="仿宋"/>
          <w:sz w:val="28"/>
          <w:szCs w:val="28"/>
        </w:rPr>
      </w:pPr>
    </w:p>
    <w:p>
      <w:pPr>
        <w:spacing w:line="360" w:lineRule="auto"/>
        <w:rPr>
          <w:rFonts w:ascii="仿宋" w:hAnsi="仿宋" w:eastAsia="仿宋"/>
          <w:sz w:val="28"/>
          <w:szCs w:val="28"/>
        </w:rPr>
      </w:pPr>
      <w:r>
        <w:rPr>
          <w:rFonts w:hint="eastAsia" w:ascii="仿宋" w:hAnsi="仿宋" w:eastAsia="仿宋"/>
          <w:sz w:val="28"/>
          <w:szCs w:val="28"/>
        </w:rPr>
        <w:t>江门市蓬江区融顺机动车驾驶人培训有限公司：</w:t>
      </w:r>
    </w:p>
    <w:p>
      <w:pPr>
        <w:spacing w:line="360" w:lineRule="auto"/>
        <w:ind w:firstLine="560" w:firstLineChars="200"/>
        <w:rPr>
          <w:rFonts w:ascii="仿宋" w:hAnsi="仿宋" w:eastAsia="仿宋"/>
          <w:sz w:val="28"/>
          <w:szCs w:val="28"/>
        </w:rPr>
      </w:pPr>
    </w:p>
    <w:p>
      <w:pPr>
        <w:spacing w:line="360" w:lineRule="auto"/>
        <w:ind w:firstLine="560" w:firstLineChars="200"/>
        <w:rPr>
          <w:rFonts w:ascii="仿宋" w:hAnsi="仿宋" w:eastAsia="仿宋"/>
          <w:sz w:val="28"/>
          <w:szCs w:val="28"/>
        </w:rPr>
      </w:pPr>
      <w:r>
        <w:rPr>
          <w:rFonts w:hint="eastAsia" w:ascii="仿宋" w:hAnsi="仿宋" w:eastAsia="仿宋"/>
          <w:sz w:val="28"/>
          <w:szCs w:val="28"/>
        </w:rPr>
        <w:t>我公司完全理解本项目询价文件内容，并完全响应本项目询价文件所有条款。</w:t>
      </w:r>
    </w:p>
    <w:p>
      <w:pPr>
        <w:spacing w:line="360" w:lineRule="auto"/>
        <w:ind w:firstLine="560" w:firstLineChars="200"/>
        <w:rPr>
          <w:rFonts w:ascii="仿宋" w:hAnsi="仿宋" w:eastAsia="仿宋"/>
          <w:sz w:val="28"/>
          <w:szCs w:val="28"/>
        </w:rPr>
      </w:pPr>
      <w:r>
        <w:rPr>
          <w:rFonts w:hint="eastAsia" w:ascii="仿宋" w:hAnsi="仿宋" w:eastAsia="仿宋"/>
          <w:sz w:val="28"/>
          <w:szCs w:val="28"/>
        </w:rPr>
        <w:t>若成为推荐供应商后，我公司无故不签订合同的或拖延不签的，愿意接受贵单位的处罚。</w:t>
      </w:r>
    </w:p>
    <w:p>
      <w:pPr>
        <w:spacing w:line="360" w:lineRule="auto"/>
        <w:rPr>
          <w:rFonts w:ascii="仿宋" w:hAnsi="仿宋" w:eastAsia="仿宋"/>
          <w:sz w:val="28"/>
          <w:szCs w:val="28"/>
        </w:rPr>
      </w:pPr>
    </w:p>
    <w:p>
      <w:pPr>
        <w:spacing w:line="360" w:lineRule="auto"/>
        <w:rPr>
          <w:rFonts w:ascii="仿宋" w:hAnsi="仿宋" w:eastAsia="仿宋"/>
          <w:sz w:val="28"/>
          <w:szCs w:val="28"/>
        </w:rPr>
      </w:pPr>
    </w:p>
    <w:p>
      <w:pPr>
        <w:spacing w:line="360" w:lineRule="auto"/>
        <w:jc w:val="right"/>
        <w:rPr>
          <w:rFonts w:ascii="仿宋" w:hAnsi="仿宋" w:eastAsia="仿宋"/>
          <w:sz w:val="28"/>
          <w:szCs w:val="28"/>
        </w:rPr>
      </w:pPr>
      <w:r>
        <w:rPr>
          <w:rFonts w:hint="eastAsia" w:ascii="仿宋" w:hAnsi="仿宋" w:eastAsia="仿宋"/>
          <w:sz w:val="28"/>
          <w:szCs w:val="28"/>
        </w:rPr>
        <w:t xml:space="preserve">法定代表人（或其授权人）签字及盖公章：           </w:t>
      </w:r>
    </w:p>
    <w:p>
      <w:pPr>
        <w:spacing w:line="360" w:lineRule="auto"/>
        <w:ind w:left="360"/>
        <w:jc w:val="right"/>
        <w:rPr>
          <w:rFonts w:ascii="仿宋" w:hAnsi="仿宋" w:eastAsia="仿宋"/>
          <w:sz w:val="28"/>
          <w:szCs w:val="28"/>
        </w:rPr>
      </w:pPr>
    </w:p>
    <w:p>
      <w:pPr>
        <w:spacing w:line="360" w:lineRule="auto"/>
        <w:ind w:right="3343" w:rightChars="1592"/>
        <w:jc w:val="right"/>
        <w:rPr>
          <w:rFonts w:ascii="仿宋" w:hAnsi="仿宋" w:eastAsia="仿宋"/>
          <w:sz w:val="28"/>
          <w:szCs w:val="28"/>
        </w:rPr>
      </w:pPr>
      <w:r>
        <w:rPr>
          <w:rFonts w:hint="eastAsia" w:ascii="仿宋" w:hAnsi="仿宋" w:eastAsia="仿宋"/>
          <w:sz w:val="28"/>
          <w:szCs w:val="28"/>
        </w:rPr>
        <w:t xml:space="preserve">日期：         </w:t>
      </w:r>
      <w:r>
        <w:rPr>
          <w:rFonts w:ascii="仿宋" w:hAnsi="仿宋" w:eastAsia="仿宋"/>
          <w:sz w:val="28"/>
          <w:szCs w:val="28"/>
        </w:rPr>
        <w:t xml:space="preserve">   </w:t>
      </w:r>
      <w:r>
        <w:rPr>
          <w:rFonts w:hint="eastAsia" w:ascii="仿宋" w:hAnsi="仿宋" w:eastAsia="仿宋"/>
          <w:sz w:val="28"/>
          <w:szCs w:val="28"/>
        </w:rPr>
        <w:t xml:space="preserve">  </w:t>
      </w:r>
    </w:p>
    <w:p>
      <w:pPr>
        <w:spacing w:line="360" w:lineRule="auto"/>
        <w:rPr>
          <w:rFonts w:ascii="仿宋" w:hAnsi="仿宋" w:eastAsia="仿宋"/>
          <w:sz w:val="28"/>
          <w:szCs w:val="28"/>
        </w:rPr>
      </w:pPr>
      <w:r>
        <w:rPr>
          <w:rFonts w:hint="eastAsia" w:ascii="仿宋" w:hAnsi="仿宋" w:eastAsia="仿宋"/>
          <w:sz w:val="28"/>
          <w:szCs w:val="28"/>
        </w:rPr>
        <w:t xml:space="preserve"> </w:t>
      </w:r>
    </w:p>
    <w:p>
      <w:pPr>
        <w:spacing w:line="360" w:lineRule="auto"/>
        <w:rPr>
          <w:rFonts w:ascii="仿宋" w:hAnsi="仿宋" w:eastAsia="仿宋"/>
          <w:sz w:val="28"/>
          <w:szCs w:val="28"/>
        </w:rPr>
      </w:pPr>
    </w:p>
    <w:p>
      <w:pPr>
        <w:spacing w:line="360" w:lineRule="auto"/>
        <w:rPr>
          <w:rFonts w:ascii="仿宋" w:hAnsi="仿宋" w:eastAsia="仿宋"/>
          <w:sz w:val="28"/>
          <w:szCs w:val="28"/>
        </w:rPr>
      </w:pPr>
    </w:p>
    <w:p>
      <w:pPr>
        <w:spacing w:line="360" w:lineRule="auto"/>
        <w:rPr>
          <w:rFonts w:ascii="仿宋" w:hAnsi="仿宋" w:eastAsia="仿宋"/>
          <w:sz w:val="28"/>
          <w:szCs w:val="28"/>
        </w:rPr>
      </w:pPr>
    </w:p>
    <w:p>
      <w:pPr>
        <w:spacing w:line="360" w:lineRule="auto"/>
        <w:rPr>
          <w:rFonts w:ascii="仿宋" w:hAnsi="仿宋" w:eastAsia="仿宋"/>
          <w:sz w:val="28"/>
          <w:szCs w:val="28"/>
        </w:rPr>
      </w:pPr>
    </w:p>
    <w:p>
      <w:pPr>
        <w:spacing w:line="360" w:lineRule="auto"/>
        <w:rPr>
          <w:rFonts w:ascii="仿宋" w:hAnsi="仿宋" w:eastAsia="仿宋"/>
          <w:sz w:val="28"/>
          <w:szCs w:val="28"/>
        </w:rPr>
      </w:pPr>
    </w:p>
    <w:p>
      <w:pPr>
        <w:spacing w:line="360" w:lineRule="auto"/>
        <w:rPr>
          <w:rFonts w:ascii="仿宋" w:hAnsi="仿宋" w:eastAsia="仿宋"/>
          <w:b/>
          <w:sz w:val="28"/>
          <w:szCs w:val="28"/>
        </w:rPr>
      </w:pPr>
      <w:r>
        <w:rPr>
          <w:rFonts w:ascii="仿宋" w:hAnsi="仿宋" w:eastAsia="仿宋"/>
          <w:b/>
          <w:sz w:val="28"/>
          <w:szCs w:val="28"/>
        </w:rPr>
        <w:t>3</w:t>
      </w:r>
      <w:r>
        <w:rPr>
          <w:rFonts w:hint="eastAsia" w:ascii="仿宋" w:hAnsi="仿宋" w:eastAsia="仿宋"/>
          <w:b/>
          <w:sz w:val="28"/>
          <w:szCs w:val="28"/>
        </w:rPr>
        <w:t>、其他文件</w:t>
      </w:r>
    </w:p>
    <w:p>
      <w:pPr>
        <w:spacing w:line="360" w:lineRule="auto"/>
        <w:ind w:firstLine="425" w:firstLineChars="152"/>
        <w:rPr>
          <w:rFonts w:ascii="仿宋" w:hAnsi="仿宋" w:eastAsia="仿宋"/>
          <w:sz w:val="28"/>
          <w:szCs w:val="28"/>
        </w:rPr>
      </w:pPr>
      <w:r>
        <w:rPr>
          <w:rFonts w:hint="eastAsia" w:ascii="仿宋" w:hAnsi="仿宋" w:eastAsia="仿宋"/>
          <w:bCs/>
          <w:sz w:val="28"/>
          <w:szCs w:val="28"/>
        </w:rPr>
        <w:t>（1）企业营</w:t>
      </w:r>
      <w:r>
        <w:rPr>
          <w:rFonts w:hint="eastAsia" w:ascii="仿宋" w:hAnsi="仿宋" w:eastAsia="仿宋"/>
          <w:sz w:val="28"/>
          <w:szCs w:val="28"/>
        </w:rPr>
        <w:t>业执照副本、税务登记证副本及组织机构代码证副本（或五证合一副本，复印件盖公章）</w:t>
      </w:r>
    </w:p>
    <w:p>
      <w:pPr>
        <w:spacing w:line="360" w:lineRule="auto"/>
        <w:ind w:firstLine="425" w:firstLineChars="152"/>
        <w:rPr>
          <w:rFonts w:ascii="仿宋" w:hAnsi="仿宋" w:eastAsia="仿宋"/>
          <w:sz w:val="28"/>
          <w:szCs w:val="28"/>
        </w:rPr>
      </w:pPr>
      <w:r>
        <w:rPr>
          <w:rFonts w:hint="eastAsia" w:ascii="仿宋" w:hAnsi="仿宋" w:eastAsia="仿宋"/>
          <w:sz w:val="28"/>
          <w:szCs w:val="28"/>
        </w:rPr>
        <w:t>（2）法人/负责人身份证复印件（盖公章），如不是法人/负责人，需填写《授权委托书》（盖公章），并提供委托人的身份证复印件（盖公章）。</w:t>
      </w:r>
    </w:p>
    <w:p>
      <w:pPr>
        <w:spacing w:line="360" w:lineRule="auto"/>
        <w:ind w:firstLine="425" w:firstLineChars="152"/>
        <w:rPr>
          <w:rFonts w:ascii="仿宋" w:hAnsi="仿宋" w:eastAsia="仿宋"/>
          <w:sz w:val="28"/>
          <w:szCs w:val="28"/>
        </w:rPr>
      </w:pPr>
      <w:r>
        <w:rPr>
          <w:rFonts w:hint="eastAsia" w:ascii="仿宋" w:hAnsi="仿宋" w:eastAsia="仿宋"/>
          <w:sz w:val="28"/>
          <w:szCs w:val="28"/>
        </w:rPr>
        <w:t>（3）项目报价明细清单</w:t>
      </w:r>
    </w:p>
    <w:p>
      <w:pPr>
        <w:spacing w:line="360" w:lineRule="auto"/>
        <w:ind w:firstLine="425" w:firstLineChars="152"/>
        <w:rPr>
          <w:rFonts w:ascii="仿宋" w:hAnsi="仿宋" w:eastAsia="仿宋"/>
          <w:sz w:val="28"/>
          <w:szCs w:val="28"/>
        </w:rPr>
      </w:pPr>
      <w:r>
        <w:rPr>
          <w:rFonts w:hint="eastAsia" w:ascii="仿宋" w:hAnsi="仿宋" w:eastAsia="仿宋"/>
          <w:sz w:val="28"/>
          <w:szCs w:val="28"/>
        </w:rPr>
        <w:t>（</w:t>
      </w:r>
      <w:r>
        <w:rPr>
          <w:rFonts w:ascii="仿宋" w:hAnsi="仿宋" w:eastAsia="仿宋"/>
          <w:sz w:val="28"/>
          <w:szCs w:val="28"/>
        </w:rPr>
        <w:t>4</w:t>
      </w:r>
      <w:r>
        <w:rPr>
          <w:rFonts w:hint="eastAsia" w:ascii="仿宋" w:hAnsi="仿宋" w:eastAsia="仿宋"/>
          <w:sz w:val="28"/>
          <w:szCs w:val="28"/>
        </w:rPr>
        <w:t>）项目实施方案</w:t>
      </w:r>
    </w:p>
    <w:p>
      <w:pPr>
        <w:spacing w:line="360" w:lineRule="auto"/>
        <w:ind w:firstLine="425" w:firstLineChars="152"/>
        <w:rPr>
          <w:rFonts w:ascii="仿宋" w:hAnsi="仿宋" w:eastAsia="仿宋"/>
          <w:sz w:val="28"/>
          <w:szCs w:val="28"/>
        </w:rPr>
      </w:pPr>
      <w:r>
        <w:rPr>
          <w:rFonts w:hint="eastAsia" w:ascii="仿宋" w:hAnsi="仿宋" w:eastAsia="仿宋"/>
          <w:sz w:val="28"/>
          <w:szCs w:val="28"/>
        </w:rPr>
        <w:t>（</w:t>
      </w:r>
      <w:r>
        <w:rPr>
          <w:rFonts w:ascii="仿宋" w:hAnsi="仿宋" w:eastAsia="仿宋"/>
          <w:sz w:val="28"/>
          <w:szCs w:val="28"/>
        </w:rPr>
        <w:t>5</w:t>
      </w:r>
      <w:r>
        <w:rPr>
          <w:rFonts w:hint="eastAsia" w:ascii="仿宋" w:hAnsi="仿宋" w:eastAsia="仿宋"/>
          <w:sz w:val="28"/>
          <w:szCs w:val="28"/>
        </w:rPr>
        <w:t>）响应人认为需要提交的其他文件</w:t>
      </w:r>
    </w:p>
    <w:p>
      <w:pPr>
        <w:spacing w:line="360" w:lineRule="auto"/>
        <w:rPr>
          <w:rFonts w:ascii="仿宋" w:hAnsi="仿宋" w:eastAsia="仿宋"/>
          <w:sz w:val="28"/>
          <w:szCs w:val="28"/>
        </w:rPr>
      </w:pPr>
    </w:p>
    <w:p>
      <w:pPr>
        <w:spacing w:line="360" w:lineRule="auto"/>
        <w:rPr>
          <w:rFonts w:ascii="仿宋" w:hAnsi="仿宋" w:eastAsia="仿宋"/>
          <w:sz w:val="28"/>
          <w:szCs w:val="28"/>
        </w:rPr>
      </w:pPr>
    </w:p>
    <w:p>
      <w:pPr>
        <w:spacing w:line="360" w:lineRule="auto"/>
        <w:ind w:firstLine="560" w:firstLineChars="200"/>
        <w:rPr>
          <w:rFonts w:ascii="仿宋" w:hAnsi="仿宋" w:eastAsia="仿宋" w:cs="宋体"/>
          <w:sz w:val="28"/>
          <w:szCs w:val="28"/>
        </w:rPr>
      </w:pPr>
    </w:p>
    <w:bookmarkEnd w:id="33"/>
    <w:p>
      <w:pPr>
        <w:shd w:val="clear" w:color="auto" w:fill="FFFFFF"/>
        <w:spacing w:line="360" w:lineRule="auto"/>
        <w:ind w:firstLine="560" w:firstLineChars="200"/>
        <w:rPr>
          <w:rFonts w:ascii="仿宋" w:hAnsi="仿宋" w:eastAsia="仿宋" w:cs="宋体"/>
          <w:color w:val="000000"/>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632344"/>
    <w:multiLevelType w:val="multilevel"/>
    <w:tmpl w:val="36632344"/>
    <w:lvl w:ilvl="0" w:tentative="0">
      <w:start w:val="4"/>
      <w:numFmt w:val="japaneseCounting"/>
      <w:lvlText w:val="%1、"/>
      <w:lvlJc w:val="left"/>
      <w:pPr>
        <w:ind w:left="570" w:hanging="57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6C205B69"/>
    <w:multiLevelType w:val="multilevel"/>
    <w:tmpl w:val="6C205B69"/>
    <w:lvl w:ilvl="0" w:tentative="0">
      <w:start w:val="1"/>
      <w:numFmt w:val="decimal"/>
      <w:lvlText w:val="%1、"/>
      <w:lvlJc w:val="left"/>
      <w:pPr>
        <w:ind w:left="1381" w:hanging="720"/>
      </w:pPr>
      <w:rPr>
        <w:rFonts w:hint="default"/>
      </w:rPr>
    </w:lvl>
    <w:lvl w:ilvl="1" w:tentative="0">
      <w:start w:val="1"/>
      <w:numFmt w:val="lowerLetter"/>
      <w:lvlText w:val="%2)"/>
      <w:lvlJc w:val="left"/>
      <w:pPr>
        <w:ind w:left="1501" w:hanging="420"/>
      </w:pPr>
    </w:lvl>
    <w:lvl w:ilvl="2" w:tentative="0">
      <w:start w:val="1"/>
      <w:numFmt w:val="lowerRoman"/>
      <w:lvlText w:val="%3."/>
      <w:lvlJc w:val="right"/>
      <w:pPr>
        <w:ind w:left="1921" w:hanging="420"/>
      </w:pPr>
    </w:lvl>
    <w:lvl w:ilvl="3" w:tentative="0">
      <w:start w:val="1"/>
      <w:numFmt w:val="decimal"/>
      <w:lvlText w:val="%4."/>
      <w:lvlJc w:val="left"/>
      <w:pPr>
        <w:ind w:left="2341" w:hanging="420"/>
      </w:pPr>
    </w:lvl>
    <w:lvl w:ilvl="4" w:tentative="0">
      <w:start w:val="1"/>
      <w:numFmt w:val="lowerLetter"/>
      <w:lvlText w:val="%5)"/>
      <w:lvlJc w:val="left"/>
      <w:pPr>
        <w:ind w:left="2761" w:hanging="420"/>
      </w:pPr>
    </w:lvl>
    <w:lvl w:ilvl="5" w:tentative="0">
      <w:start w:val="1"/>
      <w:numFmt w:val="lowerRoman"/>
      <w:lvlText w:val="%6."/>
      <w:lvlJc w:val="right"/>
      <w:pPr>
        <w:ind w:left="3181" w:hanging="420"/>
      </w:pPr>
    </w:lvl>
    <w:lvl w:ilvl="6" w:tentative="0">
      <w:start w:val="1"/>
      <w:numFmt w:val="decimal"/>
      <w:lvlText w:val="%7."/>
      <w:lvlJc w:val="left"/>
      <w:pPr>
        <w:ind w:left="3601" w:hanging="420"/>
      </w:pPr>
    </w:lvl>
    <w:lvl w:ilvl="7" w:tentative="0">
      <w:start w:val="1"/>
      <w:numFmt w:val="lowerLetter"/>
      <w:lvlText w:val="%8)"/>
      <w:lvlJc w:val="left"/>
      <w:pPr>
        <w:ind w:left="4021" w:hanging="420"/>
      </w:pPr>
    </w:lvl>
    <w:lvl w:ilvl="8" w:tentative="0">
      <w:start w:val="1"/>
      <w:numFmt w:val="lowerRoman"/>
      <w:lvlText w:val="%9."/>
      <w:lvlJc w:val="right"/>
      <w:pPr>
        <w:ind w:left="4441"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A1NjMyNTQxZDYwODA1YWI1ZTc3YjUzMWM3YTllMDIifQ=="/>
  </w:docVars>
  <w:rsids>
    <w:rsidRoot w:val="00BA4727"/>
    <w:rsid w:val="00057FF4"/>
    <w:rsid w:val="000D7B76"/>
    <w:rsid w:val="00142C04"/>
    <w:rsid w:val="001E0A33"/>
    <w:rsid w:val="002153AD"/>
    <w:rsid w:val="00375A0A"/>
    <w:rsid w:val="00393893"/>
    <w:rsid w:val="003D51CC"/>
    <w:rsid w:val="003D7685"/>
    <w:rsid w:val="00446DA3"/>
    <w:rsid w:val="00457A42"/>
    <w:rsid w:val="004B4D89"/>
    <w:rsid w:val="0053633D"/>
    <w:rsid w:val="005E2415"/>
    <w:rsid w:val="006240F1"/>
    <w:rsid w:val="006378CD"/>
    <w:rsid w:val="006560AB"/>
    <w:rsid w:val="00696CD0"/>
    <w:rsid w:val="006D3CF7"/>
    <w:rsid w:val="00764FA1"/>
    <w:rsid w:val="008F11C0"/>
    <w:rsid w:val="00947D30"/>
    <w:rsid w:val="009E2149"/>
    <w:rsid w:val="00A03330"/>
    <w:rsid w:val="00B164B2"/>
    <w:rsid w:val="00B71483"/>
    <w:rsid w:val="00B72DFD"/>
    <w:rsid w:val="00BA4727"/>
    <w:rsid w:val="00C5592E"/>
    <w:rsid w:val="00C846AE"/>
    <w:rsid w:val="00CC2C75"/>
    <w:rsid w:val="00CF4120"/>
    <w:rsid w:val="00D263B0"/>
    <w:rsid w:val="00D70AFB"/>
    <w:rsid w:val="00D8345C"/>
    <w:rsid w:val="00DD17B1"/>
    <w:rsid w:val="00E13A59"/>
    <w:rsid w:val="00E4768D"/>
    <w:rsid w:val="00E95F7D"/>
    <w:rsid w:val="00F00B87"/>
    <w:rsid w:val="00F4373C"/>
    <w:rsid w:val="00FB0C77"/>
    <w:rsid w:val="00FD50D5"/>
    <w:rsid w:val="0AEB05F2"/>
    <w:rsid w:val="1A690BB0"/>
    <w:rsid w:val="1D616030"/>
    <w:rsid w:val="1EBD0C36"/>
    <w:rsid w:val="20A925B3"/>
    <w:rsid w:val="394F06AC"/>
    <w:rsid w:val="405A3927"/>
    <w:rsid w:val="505F5214"/>
    <w:rsid w:val="6EE64C0C"/>
    <w:rsid w:val="6FB712AE"/>
    <w:rsid w:val="751430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paragraph" w:styleId="2">
    <w:name w:val="heading 2"/>
    <w:basedOn w:val="1"/>
    <w:next w:val="1"/>
    <w:link w:val="18"/>
    <w:qFormat/>
    <w:uiPriority w:val="9"/>
    <w:pPr>
      <w:keepNext/>
      <w:keepLines/>
      <w:widowControl/>
      <w:spacing w:before="260" w:after="260" w:line="413" w:lineRule="auto"/>
      <w:jc w:val="left"/>
      <w:outlineLvl w:val="1"/>
    </w:pPr>
    <w:rPr>
      <w:rFonts w:ascii="Arial" w:hAnsi="Arial" w:eastAsia="黑体" w:cs="Times New Roman"/>
      <w:b/>
      <w:kern w:val="0"/>
      <w:sz w:val="32"/>
      <w:szCs w:val="22"/>
    </w:rPr>
  </w:style>
  <w:style w:type="paragraph" w:styleId="3">
    <w:name w:val="heading 3"/>
    <w:basedOn w:val="1"/>
    <w:next w:val="4"/>
    <w:link w:val="19"/>
    <w:qFormat/>
    <w:uiPriority w:val="0"/>
    <w:pPr>
      <w:keepNext/>
      <w:keepLines/>
      <w:widowControl/>
      <w:wordWrap w:val="0"/>
      <w:autoSpaceDE w:val="0"/>
      <w:autoSpaceDN w:val="0"/>
      <w:adjustRightInd w:val="0"/>
      <w:spacing w:line="440" w:lineRule="exact"/>
      <w:jc w:val="left"/>
      <w:outlineLvl w:val="2"/>
    </w:pPr>
    <w:rPr>
      <w:rFonts w:ascii="宋体" w:hAnsi="Times New Roman" w:cs="Times New Roman"/>
      <w:b/>
      <w:kern w:val="0"/>
      <w:sz w:val="24"/>
      <w:szCs w:val="20"/>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4">
    <w:name w:val="Normal Indent"/>
    <w:basedOn w:val="1"/>
    <w:semiHidden/>
    <w:unhideWhenUsed/>
    <w:qFormat/>
    <w:uiPriority w:val="99"/>
    <w:pPr>
      <w:ind w:firstLine="420" w:firstLineChars="200"/>
    </w:pPr>
  </w:style>
  <w:style w:type="paragraph" w:styleId="5">
    <w:name w:val="Body Text Indent"/>
    <w:basedOn w:val="1"/>
    <w:link w:val="23"/>
    <w:semiHidden/>
    <w:unhideWhenUsed/>
    <w:qFormat/>
    <w:uiPriority w:val="99"/>
    <w:pPr>
      <w:spacing w:after="120"/>
      <w:ind w:left="420" w:leftChars="200"/>
    </w:pPr>
  </w:style>
  <w:style w:type="paragraph" w:styleId="6">
    <w:name w:val="Plain Text"/>
    <w:basedOn w:val="1"/>
    <w:link w:val="21"/>
    <w:qFormat/>
    <w:uiPriority w:val="0"/>
    <w:rPr>
      <w:rFonts w:ascii="宋体" w:hAnsi="Courier New" w:cstheme="minorBidi"/>
      <w:szCs w:val="22"/>
    </w:rPr>
  </w:style>
  <w:style w:type="paragraph" w:styleId="7">
    <w:name w:val="Date"/>
    <w:basedOn w:val="1"/>
    <w:next w:val="1"/>
    <w:link w:val="27"/>
    <w:semiHidden/>
    <w:unhideWhenUsed/>
    <w:qFormat/>
    <w:uiPriority w:val="99"/>
    <w:pPr>
      <w:ind w:left="100" w:leftChars="2500"/>
    </w:pPr>
  </w:style>
  <w:style w:type="paragraph" w:styleId="8">
    <w:name w:val="Balloon Text"/>
    <w:basedOn w:val="1"/>
    <w:link w:val="26"/>
    <w:semiHidden/>
    <w:unhideWhenUsed/>
    <w:qFormat/>
    <w:uiPriority w:val="99"/>
    <w:rPr>
      <w:sz w:val="18"/>
      <w:szCs w:val="18"/>
    </w:rPr>
  </w:style>
  <w:style w:type="paragraph" w:styleId="9">
    <w:name w:val="footer"/>
    <w:basedOn w:val="1"/>
    <w:link w:val="17"/>
    <w:unhideWhenUsed/>
    <w:qFormat/>
    <w:uiPriority w:val="99"/>
    <w:pPr>
      <w:tabs>
        <w:tab w:val="center" w:pos="4153"/>
        <w:tab w:val="right" w:pos="8306"/>
      </w:tabs>
      <w:snapToGrid w:val="0"/>
      <w:jc w:val="left"/>
    </w:pPr>
    <w:rPr>
      <w:sz w:val="18"/>
      <w:szCs w:val="18"/>
    </w:rPr>
  </w:style>
  <w:style w:type="paragraph" w:styleId="10">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spacing w:beforeAutospacing="1" w:afterAutospacing="1"/>
      <w:jc w:val="left"/>
    </w:pPr>
    <w:rPr>
      <w:kern w:val="0"/>
      <w:sz w:val="24"/>
      <w:szCs w:val="24"/>
    </w:rPr>
  </w:style>
  <w:style w:type="paragraph" w:styleId="12">
    <w:name w:val="Body Text First Indent 2"/>
    <w:basedOn w:val="5"/>
    <w:next w:val="1"/>
    <w:link w:val="24"/>
    <w:qFormat/>
    <w:uiPriority w:val="0"/>
    <w:pPr>
      <w:widowControl/>
      <w:ind w:firstLine="420" w:firstLineChars="200"/>
      <w:jc w:val="left"/>
    </w:pPr>
    <w:rPr>
      <w:rFonts w:ascii="Times New Roman" w:hAnsi="Times New Roman" w:cs="Times New Roman"/>
      <w:kern w:val="0"/>
      <w:sz w:val="20"/>
      <w:szCs w:val="20"/>
    </w:rPr>
  </w:style>
  <w:style w:type="table" w:styleId="14">
    <w:name w:val="Table Grid"/>
    <w:basedOn w:val="13"/>
    <w:qFormat/>
    <w:uiPriority w:val="0"/>
    <w:pPr>
      <w:widowControl w:val="0"/>
      <w:jc w:val="both"/>
    </w:pPr>
    <w:rPr>
      <w:rFonts w:ascii="Calibri" w:hAnsi="Calibri" w:eastAsia="宋体" w:cs="宋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6">
    <w:name w:val="页眉 Char"/>
    <w:basedOn w:val="15"/>
    <w:link w:val="10"/>
    <w:qFormat/>
    <w:uiPriority w:val="99"/>
    <w:rPr>
      <w:rFonts w:ascii="Calibri" w:hAnsi="Calibri" w:eastAsia="宋体" w:cs="Calibri"/>
      <w:sz w:val="18"/>
      <w:szCs w:val="18"/>
    </w:rPr>
  </w:style>
  <w:style w:type="character" w:customStyle="1" w:styleId="17">
    <w:name w:val="页脚 Char"/>
    <w:basedOn w:val="15"/>
    <w:link w:val="9"/>
    <w:qFormat/>
    <w:uiPriority w:val="99"/>
    <w:rPr>
      <w:rFonts w:ascii="Calibri" w:hAnsi="Calibri" w:eastAsia="宋体" w:cs="Calibri"/>
      <w:sz w:val="18"/>
      <w:szCs w:val="18"/>
    </w:rPr>
  </w:style>
  <w:style w:type="character" w:customStyle="1" w:styleId="18">
    <w:name w:val="标题 2 Char"/>
    <w:basedOn w:val="15"/>
    <w:link w:val="2"/>
    <w:qFormat/>
    <w:uiPriority w:val="9"/>
    <w:rPr>
      <w:rFonts w:ascii="Arial" w:hAnsi="Arial" w:eastAsia="黑体" w:cs="Times New Roman"/>
      <w:b/>
      <w:kern w:val="0"/>
      <w:sz w:val="32"/>
    </w:rPr>
  </w:style>
  <w:style w:type="character" w:customStyle="1" w:styleId="19">
    <w:name w:val="标题 3 Char"/>
    <w:basedOn w:val="15"/>
    <w:link w:val="3"/>
    <w:qFormat/>
    <w:uiPriority w:val="0"/>
    <w:rPr>
      <w:rFonts w:ascii="宋体" w:hAnsi="Times New Roman" w:eastAsia="宋体" w:cs="Times New Roman"/>
      <w:b/>
      <w:kern w:val="0"/>
      <w:sz w:val="24"/>
      <w:szCs w:val="20"/>
    </w:rPr>
  </w:style>
  <w:style w:type="paragraph" w:customStyle="1" w:styleId="20">
    <w:name w:val="三级条标题"/>
    <w:basedOn w:val="1"/>
    <w:next w:val="1"/>
    <w:qFormat/>
    <w:uiPriority w:val="0"/>
    <w:pPr>
      <w:widowControl/>
      <w:spacing w:before="50" w:beforeLines="50" w:after="50" w:afterLines="50"/>
      <w:ind w:left="1844"/>
      <w:jc w:val="left"/>
      <w:outlineLvl w:val="4"/>
    </w:pPr>
    <w:rPr>
      <w:rFonts w:ascii="黑体" w:hAnsi="Times New Roman" w:eastAsia="黑体" w:cs="Times New Roman"/>
      <w:kern w:val="0"/>
      <w:sz w:val="20"/>
    </w:rPr>
  </w:style>
  <w:style w:type="character" w:customStyle="1" w:styleId="21">
    <w:name w:val="纯文本 Char"/>
    <w:link w:val="6"/>
    <w:qFormat/>
    <w:uiPriority w:val="0"/>
    <w:rPr>
      <w:rFonts w:ascii="宋体" w:hAnsi="Courier New" w:eastAsia="宋体"/>
    </w:rPr>
  </w:style>
  <w:style w:type="character" w:customStyle="1" w:styleId="22">
    <w:name w:val="纯文本 字符1"/>
    <w:basedOn w:val="15"/>
    <w:semiHidden/>
    <w:qFormat/>
    <w:uiPriority w:val="99"/>
    <w:rPr>
      <w:rFonts w:hAnsi="Courier New" w:cs="Courier New" w:asciiTheme="minorEastAsia"/>
      <w:szCs w:val="21"/>
    </w:rPr>
  </w:style>
  <w:style w:type="character" w:customStyle="1" w:styleId="23">
    <w:name w:val="正文文本缩进 Char"/>
    <w:basedOn w:val="15"/>
    <w:link w:val="5"/>
    <w:semiHidden/>
    <w:qFormat/>
    <w:uiPriority w:val="99"/>
    <w:rPr>
      <w:rFonts w:ascii="Calibri" w:hAnsi="Calibri" w:eastAsia="宋体" w:cs="Calibri"/>
      <w:szCs w:val="21"/>
    </w:rPr>
  </w:style>
  <w:style w:type="character" w:customStyle="1" w:styleId="24">
    <w:name w:val="正文首行缩进 2 Char"/>
    <w:basedOn w:val="23"/>
    <w:link w:val="12"/>
    <w:qFormat/>
    <w:uiPriority w:val="0"/>
    <w:rPr>
      <w:rFonts w:ascii="Times New Roman" w:hAnsi="Times New Roman" w:eastAsia="宋体" w:cs="Times New Roman"/>
      <w:kern w:val="0"/>
      <w:sz w:val="20"/>
      <w:szCs w:val="20"/>
    </w:rPr>
  </w:style>
  <w:style w:type="paragraph" w:styleId="25">
    <w:name w:val="List Paragraph"/>
    <w:basedOn w:val="1"/>
    <w:qFormat/>
    <w:uiPriority w:val="34"/>
    <w:pPr>
      <w:ind w:firstLine="420" w:firstLineChars="200"/>
    </w:pPr>
  </w:style>
  <w:style w:type="character" w:customStyle="1" w:styleId="26">
    <w:name w:val="批注框文本 Char"/>
    <w:basedOn w:val="15"/>
    <w:link w:val="8"/>
    <w:semiHidden/>
    <w:qFormat/>
    <w:uiPriority w:val="99"/>
    <w:rPr>
      <w:rFonts w:ascii="Calibri" w:hAnsi="Calibri" w:eastAsia="宋体" w:cs="Calibri"/>
      <w:kern w:val="2"/>
      <w:sz w:val="18"/>
      <w:szCs w:val="18"/>
    </w:rPr>
  </w:style>
  <w:style w:type="character" w:customStyle="1" w:styleId="27">
    <w:name w:val="日期 Char"/>
    <w:basedOn w:val="15"/>
    <w:link w:val="7"/>
    <w:semiHidden/>
    <w:qFormat/>
    <w:uiPriority w:val="99"/>
    <w:rPr>
      <w:rFonts w:ascii="Calibri" w:hAnsi="Calibri" w:eastAsia="宋体" w:cs="Calibri"/>
      <w:kern w:val="2"/>
      <w:sz w:val="21"/>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7097</Words>
  <Characters>7762</Characters>
  <Lines>62</Lines>
  <Paragraphs>17</Paragraphs>
  <TotalTime>1</TotalTime>
  <ScaleCrop>false</ScaleCrop>
  <LinksUpToDate>false</LinksUpToDate>
  <CharactersWithSpaces>8248</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2022-07-11T08:32:00Z</dcterms:created>
  <dc:creator>15718</dc:creator>
  <cp:lastModifiedBy>〽工藤安一</cp:lastModifiedBy>
  <dcterms:modified xsi:type="dcterms:W3CDTF">2022-07-12T07:24:18Z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y fmtid="{D5CDD505-2E9C-101B-9397-08002B2CF9AE}" pid="3" name="ICV">
    <vt:lpwstr>347E489B77DD49A38A6F60B161E070CF</vt:lpwstr>
  </property>
</Properties>
</file>