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240" w:lineRule="auto"/>
        <w:jc w:val="center"/>
        <w:rPr>
          <w:rFonts w:ascii="宋体" w:hAnsi="宋体" w:cs="方正大标宋简体"/>
          <w:b/>
          <w:sz w:val="44"/>
          <w:szCs w:val="44"/>
        </w:rPr>
      </w:pPr>
      <w:r>
        <w:rPr>
          <w:rFonts w:hint="eastAsia" w:ascii="宋体" w:hAnsi="宋体" w:cs="方正大标宋简体"/>
          <w:b/>
          <w:sz w:val="44"/>
          <w:szCs w:val="44"/>
          <w:lang w:val="en-US" w:eastAsia="zh-CN"/>
        </w:rPr>
        <w:t>2022年度</w:t>
      </w:r>
      <w:r>
        <w:rPr>
          <w:rFonts w:hint="eastAsia" w:ascii="宋体" w:hAnsi="宋体" w:cs="方正大标宋简体"/>
          <w:b/>
          <w:sz w:val="44"/>
          <w:szCs w:val="44"/>
        </w:rPr>
        <w:t>江门市蓬江区政府中心机房网络安全等级保护测评及安全服务项目</w:t>
      </w:r>
      <w:r>
        <w:rPr>
          <w:rFonts w:hint="eastAsia" w:ascii="宋体" w:hAnsi="宋体" w:cs="方正大标宋简体"/>
          <w:b/>
          <w:sz w:val="44"/>
          <w:szCs w:val="44"/>
          <w:lang w:eastAsia="zh-CN"/>
        </w:rPr>
        <w:t>采购</w:t>
      </w:r>
      <w:r>
        <w:rPr>
          <w:rFonts w:hint="eastAsia" w:ascii="宋体" w:hAnsi="宋体" w:cs="方正大标宋简体"/>
          <w:b/>
          <w:sz w:val="44"/>
          <w:szCs w:val="44"/>
        </w:rPr>
        <w:t>需求</w:t>
      </w:r>
    </w:p>
    <w:p>
      <w:pPr>
        <w:jc w:val="center"/>
        <w:rPr>
          <w:rFonts w:ascii="宋体" w:hAnsi="宋体" w:cs="方正大标宋简体"/>
          <w:bCs/>
          <w:sz w:val="32"/>
          <w:szCs w:val="32"/>
        </w:rPr>
      </w:pPr>
    </w:p>
    <w:p>
      <w:pPr>
        <w:pStyle w:val="3"/>
        <w:numPr>
          <w:ilvl w:val="0"/>
          <w:numId w:val="3"/>
        </w:numPr>
        <w:spacing w:before="0" w:after="0"/>
        <w:jc w:val="left"/>
        <w:rPr>
          <w:rFonts w:ascii="黑体" w:hAnsi="黑体" w:eastAsia="黑体" w:cs="仿宋"/>
          <w:bCs/>
          <w:kern w:val="0"/>
          <w:sz w:val="32"/>
          <w:szCs w:val="32"/>
          <w:lang w:val="zh-CN"/>
        </w:rPr>
      </w:pPr>
      <w:r>
        <w:rPr>
          <w:rFonts w:hint="eastAsia" w:ascii="黑体" w:hAnsi="黑体" w:eastAsia="黑体" w:cs="黑体"/>
          <w:bCs/>
          <w:kern w:val="0"/>
          <w:sz w:val="32"/>
          <w:szCs w:val="32"/>
          <w:lang w:val="zh-CN"/>
        </w:rPr>
        <w:t>项目概述</w:t>
      </w:r>
      <w:r>
        <w:rPr>
          <w:rFonts w:hint="eastAsia" w:ascii="黑体" w:hAnsi="黑体" w:eastAsia="黑体" w:cs="仿宋"/>
          <w:bCs/>
          <w:kern w:val="0"/>
          <w:sz w:val="32"/>
          <w:szCs w:val="32"/>
          <w:lang w:val="zh-CN"/>
        </w:rPr>
        <w:t>：</w:t>
      </w:r>
    </w:p>
    <w:p>
      <w:pPr>
        <w:pStyle w:val="4"/>
        <w:spacing w:before="156" w:beforeLines="50" w:after="156" w:afterLines="50"/>
        <w:ind w:left="0" w:firstLine="198"/>
        <w:rPr>
          <w:rFonts w:ascii="宋体" w:hAnsi="宋体" w:eastAsia="宋体"/>
          <w:sz w:val="24"/>
          <w:szCs w:val="24"/>
        </w:rPr>
      </w:pPr>
      <w:r>
        <w:rPr>
          <w:rFonts w:hint="eastAsia" w:ascii="宋体" w:hAnsi="宋体" w:eastAsia="宋体"/>
          <w:sz w:val="24"/>
          <w:szCs w:val="24"/>
        </w:rPr>
        <w:t>项目名称和采购方式</w:t>
      </w:r>
    </w:p>
    <w:p>
      <w:pPr>
        <w:ind w:firstLine="440" w:firstLineChars="200"/>
        <w:rPr>
          <w:rFonts w:hint="eastAsia" w:ascii="宋体" w:hAnsi="宋体"/>
          <w:sz w:val="22"/>
          <w:szCs w:val="22"/>
        </w:rPr>
      </w:pPr>
      <w:r>
        <w:rPr>
          <w:rFonts w:hint="eastAsia" w:ascii="宋体" w:hAnsi="宋体"/>
          <w:sz w:val="22"/>
          <w:szCs w:val="22"/>
        </w:rPr>
        <w:t>项目名称：</w:t>
      </w:r>
      <w:r>
        <w:rPr>
          <w:rFonts w:hint="eastAsia" w:ascii="宋体" w:hAnsi="宋体"/>
          <w:sz w:val="22"/>
          <w:szCs w:val="22"/>
          <w:lang w:val="en-US" w:eastAsia="zh-CN"/>
        </w:rPr>
        <w:t>2022年度</w:t>
      </w:r>
      <w:r>
        <w:rPr>
          <w:rFonts w:hint="eastAsia" w:ascii="宋体" w:hAnsi="宋体"/>
          <w:sz w:val="22"/>
          <w:szCs w:val="22"/>
        </w:rPr>
        <w:t>江门市蓬江区政府中心机房网络安全等级保护测评及安全服务项目</w:t>
      </w:r>
    </w:p>
    <w:p>
      <w:pPr>
        <w:ind w:firstLine="440" w:firstLineChars="200"/>
        <w:rPr>
          <w:rFonts w:ascii="宋体" w:hAnsi="宋体"/>
          <w:sz w:val="22"/>
          <w:szCs w:val="22"/>
        </w:rPr>
      </w:pPr>
      <w:r>
        <w:rPr>
          <w:rFonts w:hint="eastAsia" w:ascii="宋体" w:hAnsi="宋体"/>
          <w:sz w:val="22"/>
          <w:szCs w:val="22"/>
        </w:rPr>
        <w:t>预算金额：人民币305</w:t>
      </w:r>
      <w:r>
        <w:rPr>
          <w:rFonts w:ascii="宋体" w:hAnsi="宋体"/>
          <w:sz w:val="22"/>
          <w:szCs w:val="22"/>
        </w:rPr>
        <w:t>,</w:t>
      </w:r>
      <w:r>
        <w:rPr>
          <w:rFonts w:hint="eastAsia" w:ascii="宋体" w:hAnsi="宋体"/>
          <w:sz w:val="22"/>
          <w:szCs w:val="22"/>
        </w:rPr>
        <w:t>0</w:t>
      </w:r>
      <w:r>
        <w:rPr>
          <w:rFonts w:ascii="宋体" w:hAnsi="宋体"/>
          <w:sz w:val="22"/>
          <w:szCs w:val="22"/>
        </w:rPr>
        <w:t>00.00</w:t>
      </w:r>
      <w:r>
        <w:rPr>
          <w:rFonts w:hint="eastAsia" w:ascii="宋体" w:hAnsi="宋体"/>
          <w:sz w:val="22"/>
          <w:szCs w:val="22"/>
        </w:rPr>
        <w:t>元</w:t>
      </w:r>
      <w:r>
        <w:rPr>
          <w:rFonts w:hint="eastAsia" w:ascii="宋体" w:hAnsi="宋体" w:cs="宋体"/>
        </w:rPr>
        <w:t>。</w:t>
      </w:r>
    </w:p>
    <w:p>
      <w:pPr>
        <w:pStyle w:val="4"/>
        <w:spacing w:before="156" w:beforeLines="50" w:after="156" w:afterLines="50"/>
        <w:ind w:left="0" w:firstLine="198"/>
        <w:rPr>
          <w:rFonts w:ascii="宋体" w:hAnsi="宋体" w:eastAsia="宋体"/>
          <w:sz w:val="24"/>
          <w:szCs w:val="24"/>
        </w:rPr>
      </w:pPr>
      <w:r>
        <w:rPr>
          <w:rFonts w:ascii="宋体" w:hAnsi="宋体" w:eastAsia="宋体"/>
          <w:sz w:val="24"/>
          <w:szCs w:val="24"/>
        </w:rPr>
        <w:t>内容及包组情况（技术规格、参数及要求）</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8"/>
        <w:gridCol w:w="1548"/>
        <w:gridCol w:w="2838"/>
        <w:gridCol w:w="897"/>
        <w:gridCol w:w="1676"/>
        <w:gridCol w:w="1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491" w:type="pct"/>
            <w:vAlign w:val="center"/>
          </w:tcPr>
          <w:p>
            <w:pPr>
              <w:pStyle w:val="13"/>
              <w:spacing w:line="360" w:lineRule="auto"/>
              <w:jc w:val="center"/>
              <w:rPr>
                <w:rFonts w:hAnsi="宋体"/>
                <w:b/>
                <w:sz w:val="22"/>
                <w:szCs w:val="22"/>
              </w:rPr>
            </w:pPr>
            <w:r>
              <w:rPr>
                <w:rFonts w:hAnsi="宋体"/>
                <w:b/>
                <w:sz w:val="22"/>
                <w:szCs w:val="22"/>
              </w:rPr>
              <w:t>品目号</w:t>
            </w:r>
          </w:p>
        </w:tc>
        <w:tc>
          <w:tcPr>
            <w:tcW w:w="785" w:type="pct"/>
            <w:vAlign w:val="center"/>
          </w:tcPr>
          <w:p>
            <w:pPr>
              <w:pStyle w:val="13"/>
              <w:spacing w:line="360" w:lineRule="auto"/>
              <w:jc w:val="center"/>
              <w:rPr>
                <w:rFonts w:hAnsi="宋体"/>
                <w:b/>
                <w:sz w:val="22"/>
                <w:szCs w:val="22"/>
              </w:rPr>
            </w:pPr>
            <w:r>
              <w:rPr>
                <w:rFonts w:hAnsi="宋体"/>
                <w:b/>
                <w:sz w:val="22"/>
                <w:szCs w:val="22"/>
              </w:rPr>
              <w:t>品目名称</w:t>
            </w:r>
          </w:p>
        </w:tc>
        <w:tc>
          <w:tcPr>
            <w:tcW w:w="1439" w:type="pct"/>
            <w:vAlign w:val="center"/>
          </w:tcPr>
          <w:p>
            <w:pPr>
              <w:pStyle w:val="13"/>
              <w:spacing w:line="360" w:lineRule="auto"/>
              <w:jc w:val="center"/>
              <w:rPr>
                <w:rFonts w:hAnsi="宋体"/>
                <w:b/>
                <w:sz w:val="22"/>
                <w:szCs w:val="22"/>
              </w:rPr>
            </w:pPr>
            <w:r>
              <w:rPr>
                <w:rFonts w:hAnsi="宋体"/>
                <w:b/>
                <w:sz w:val="22"/>
                <w:szCs w:val="22"/>
              </w:rPr>
              <w:t>采购标的</w:t>
            </w:r>
          </w:p>
        </w:tc>
        <w:tc>
          <w:tcPr>
            <w:tcW w:w="455" w:type="pct"/>
            <w:vAlign w:val="center"/>
          </w:tcPr>
          <w:p>
            <w:pPr>
              <w:pStyle w:val="13"/>
              <w:spacing w:line="360" w:lineRule="auto"/>
              <w:jc w:val="center"/>
              <w:rPr>
                <w:rFonts w:hAnsi="宋体"/>
                <w:b/>
                <w:sz w:val="22"/>
                <w:szCs w:val="22"/>
              </w:rPr>
            </w:pPr>
            <w:r>
              <w:rPr>
                <w:rFonts w:hAnsi="宋体"/>
                <w:b/>
                <w:sz w:val="22"/>
                <w:szCs w:val="22"/>
              </w:rPr>
              <w:t>数量</w:t>
            </w:r>
          </w:p>
        </w:tc>
        <w:tc>
          <w:tcPr>
            <w:tcW w:w="850" w:type="pct"/>
            <w:vAlign w:val="center"/>
          </w:tcPr>
          <w:p>
            <w:pPr>
              <w:pStyle w:val="13"/>
              <w:spacing w:line="360" w:lineRule="auto"/>
              <w:jc w:val="center"/>
              <w:rPr>
                <w:rFonts w:hAnsi="宋体"/>
                <w:b/>
                <w:sz w:val="22"/>
                <w:szCs w:val="22"/>
              </w:rPr>
            </w:pPr>
            <w:r>
              <w:rPr>
                <w:rFonts w:hint="eastAsia" w:hAnsi="宋体"/>
                <w:b/>
                <w:sz w:val="22"/>
                <w:szCs w:val="22"/>
              </w:rPr>
              <w:t>项目</w:t>
            </w:r>
            <w:r>
              <w:rPr>
                <w:rFonts w:hAnsi="宋体"/>
                <w:b/>
                <w:sz w:val="22"/>
                <w:szCs w:val="22"/>
              </w:rPr>
              <w:t>内容</w:t>
            </w:r>
          </w:p>
        </w:tc>
        <w:tc>
          <w:tcPr>
            <w:tcW w:w="977" w:type="pct"/>
            <w:vAlign w:val="center"/>
          </w:tcPr>
          <w:p>
            <w:pPr>
              <w:pStyle w:val="13"/>
              <w:spacing w:line="360" w:lineRule="auto"/>
              <w:jc w:val="center"/>
              <w:rPr>
                <w:rFonts w:hAnsi="宋体"/>
                <w:b/>
                <w:sz w:val="22"/>
                <w:szCs w:val="22"/>
              </w:rPr>
            </w:pPr>
            <w:r>
              <w:rPr>
                <w:rFonts w:hint="eastAsia" w:hAnsi="宋体"/>
                <w:b/>
                <w:sz w:val="22"/>
                <w:szCs w:val="22"/>
              </w:rPr>
              <w:t>服务期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vAlign w:val="center"/>
          </w:tcPr>
          <w:p>
            <w:pPr>
              <w:pStyle w:val="13"/>
              <w:spacing w:line="360" w:lineRule="auto"/>
              <w:jc w:val="center"/>
              <w:rPr>
                <w:rFonts w:hAnsi="宋体"/>
                <w:sz w:val="22"/>
                <w:szCs w:val="22"/>
              </w:rPr>
            </w:pPr>
            <w:r>
              <w:rPr>
                <w:rFonts w:hAnsi="宋体"/>
                <w:sz w:val="22"/>
                <w:szCs w:val="22"/>
              </w:rPr>
              <w:t>1</w:t>
            </w:r>
          </w:p>
        </w:tc>
        <w:tc>
          <w:tcPr>
            <w:tcW w:w="785" w:type="pct"/>
            <w:vAlign w:val="center"/>
          </w:tcPr>
          <w:p>
            <w:pPr>
              <w:pStyle w:val="13"/>
              <w:spacing w:line="360" w:lineRule="auto"/>
              <w:jc w:val="center"/>
              <w:rPr>
                <w:rFonts w:hAnsi="宋体"/>
                <w:sz w:val="22"/>
                <w:szCs w:val="22"/>
              </w:rPr>
            </w:pPr>
            <w:r>
              <w:rPr>
                <w:rFonts w:hint="eastAsia" w:ascii="宋体" w:hAnsi="宋体" w:eastAsia="宋体" w:cs="Times New Roman"/>
                <w:kern w:val="2"/>
                <w:sz w:val="22"/>
                <w:szCs w:val="22"/>
                <w:lang w:val="en-US" w:eastAsia="zh-CN" w:bidi="ar-SA"/>
              </w:rPr>
              <w:t>网络安全服务</w:t>
            </w:r>
          </w:p>
        </w:tc>
        <w:tc>
          <w:tcPr>
            <w:tcW w:w="1439" w:type="pct"/>
            <w:vAlign w:val="center"/>
          </w:tcPr>
          <w:p>
            <w:pPr>
              <w:rPr>
                <w:rFonts w:ascii="宋体" w:hAnsi="宋体"/>
                <w:sz w:val="22"/>
                <w:szCs w:val="22"/>
              </w:rPr>
            </w:pPr>
            <w:r>
              <w:rPr>
                <w:rFonts w:hint="eastAsia" w:ascii="宋体" w:hAnsi="宋体"/>
                <w:sz w:val="22"/>
                <w:szCs w:val="22"/>
              </w:rPr>
              <w:t>2022年度江门市蓬江区政府中心机房网络安全等级保护测评及安全服务项目</w:t>
            </w:r>
          </w:p>
        </w:tc>
        <w:tc>
          <w:tcPr>
            <w:tcW w:w="455" w:type="pct"/>
            <w:vAlign w:val="center"/>
          </w:tcPr>
          <w:p>
            <w:pPr>
              <w:pStyle w:val="13"/>
              <w:spacing w:line="360" w:lineRule="auto"/>
              <w:jc w:val="center"/>
              <w:rPr>
                <w:rFonts w:hAnsi="宋体"/>
                <w:sz w:val="22"/>
                <w:szCs w:val="22"/>
              </w:rPr>
            </w:pPr>
            <w:r>
              <w:rPr>
                <w:rFonts w:hint="eastAsia" w:hAnsi="宋体"/>
                <w:sz w:val="22"/>
                <w:szCs w:val="22"/>
              </w:rPr>
              <w:t>1项</w:t>
            </w:r>
          </w:p>
        </w:tc>
        <w:tc>
          <w:tcPr>
            <w:tcW w:w="850" w:type="pct"/>
            <w:vAlign w:val="center"/>
          </w:tcPr>
          <w:p>
            <w:pPr>
              <w:pStyle w:val="13"/>
              <w:spacing w:line="360" w:lineRule="auto"/>
              <w:rPr>
                <w:rFonts w:hAnsi="宋体"/>
                <w:sz w:val="22"/>
                <w:szCs w:val="22"/>
              </w:rPr>
            </w:pPr>
            <w:r>
              <w:rPr>
                <w:rFonts w:hAnsi="宋体"/>
                <w:sz w:val="22"/>
                <w:szCs w:val="22"/>
              </w:rPr>
              <w:t>详见</w:t>
            </w:r>
            <w:r>
              <w:rPr>
                <w:rFonts w:hint="eastAsia" w:hAnsi="宋体"/>
                <w:sz w:val="22"/>
                <w:szCs w:val="22"/>
                <w:lang w:eastAsia="zh-CN"/>
              </w:rPr>
              <w:t>用户</w:t>
            </w:r>
            <w:bookmarkStart w:id="0" w:name="_GoBack"/>
            <w:bookmarkEnd w:id="0"/>
            <w:r>
              <w:rPr>
                <w:rFonts w:hint="eastAsia" w:hAnsi="宋体"/>
                <w:sz w:val="22"/>
                <w:szCs w:val="22"/>
              </w:rPr>
              <w:t>需求</w:t>
            </w:r>
          </w:p>
        </w:tc>
        <w:tc>
          <w:tcPr>
            <w:tcW w:w="977" w:type="pct"/>
            <w:vAlign w:val="center"/>
          </w:tcPr>
          <w:p>
            <w:pPr>
              <w:pStyle w:val="13"/>
              <w:spacing w:line="360" w:lineRule="auto"/>
              <w:rPr>
                <w:rFonts w:hAnsi="宋体"/>
                <w:sz w:val="22"/>
                <w:szCs w:val="22"/>
              </w:rPr>
            </w:pPr>
            <w:r>
              <w:rPr>
                <w:rFonts w:hint="eastAsia" w:hAnsi="宋体"/>
                <w:sz w:val="22"/>
                <w:szCs w:val="22"/>
              </w:rPr>
              <w:t>壹年，以签订的合同约定条款执行。</w:t>
            </w:r>
          </w:p>
        </w:tc>
      </w:tr>
    </w:tbl>
    <w:p>
      <w:pPr>
        <w:pStyle w:val="3"/>
        <w:numPr>
          <w:ilvl w:val="0"/>
          <w:numId w:val="3"/>
        </w:numPr>
        <w:spacing w:before="0" w:after="0"/>
        <w:jc w:val="left"/>
        <w:rPr>
          <w:rFonts w:ascii="黑体" w:hAnsi="黑体" w:eastAsia="黑体" w:cs="黑体"/>
          <w:bCs/>
          <w:kern w:val="0"/>
          <w:sz w:val="32"/>
          <w:szCs w:val="32"/>
          <w:lang w:val="zh-CN"/>
        </w:rPr>
      </w:pPr>
      <w:r>
        <w:rPr>
          <w:rFonts w:hint="eastAsia" w:ascii="黑体" w:hAnsi="黑体" w:eastAsia="黑体" w:cs="黑体"/>
          <w:bCs/>
          <w:kern w:val="0"/>
          <w:sz w:val="32"/>
          <w:szCs w:val="32"/>
          <w:lang w:val="zh-CN"/>
        </w:rPr>
        <w:t>服务商资格要求</w:t>
      </w:r>
    </w:p>
    <w:p>
      <w:pPr>
        <w:pStyle w:val="4"/>
        <w:numPr>
          <w:ilvl w:val="1"/>
          <w:numId w:val="4"/>
        </w:numPr>
        <w:spacing w:before="0" w:after="0"/>
        <w:ind w:left="704"/>
        <w:rPr>
          <w:rFonts w:ascii="宋体" w:hAnsi="宋体" w:eastAsia="宋体"/>
          <w:b w:val="0"/>
          <w:bCs/>
          <w:sz w:val="24"/>
          <w:szCs w:val="24"/>
        </w:rPr>
      </w:pPr>
      <w:r>
        <w:rPr>
          <w:rFonts w:hint="eastAsia" w:ascii="宋体" w:hAnsi="宋体" w:eastAsia="宋体"/>
          <w:b w:val="0"/>
          <w:bCs/>
          <w:sz w:val="24"/>
          <w:szCs w:val="24"/>
        </w:rPr>
        <w:t>服务商应具备《政府采购法》第二十二条规定的条件，提供下列材料：</w:t>
      </w:r>
    </w:p>
    <w:p>
      <w:pPr>
        <w:pStyle w:val="22"/>
        <w:numPr>
          <w:ilvl w:val="0"/>
          <w:numId w:val="5"/>
        </w:numPr>
        <w:ind w:firstLineChars="0"/>
        <w:rPr>
          <w:rFonts w:ascii="宋体" w:hAnsi="宋体"/>
          <w:szCs w:val="24"/>
        </w:rPr>
      </w:pPr>
      <w:r>
        <w:rPr>
          <w:rFonts w:ascii="宋体" w:hAnsi="宋体"/>
          <w:szCs w:val="24"/>
        </w:rPr>
        <w:t>具有独立承担民事责任的能力：有效期内的工商营业执照(或事业单位法人证书，或社会团体法人登记证书)、组织机构代码证及税务登记证复印件（或“三证合一”营业执照复印件）。</w:t>
      </w:r>
    </w:p>
    <w:p>
      <w:pPr>
        <w:pStyle w:val="22"/>
        <w:numPr>
          <w:ilvl w:val="0"/>
          <w:numId w:val="5"/>
        </w:numPr>
        <w:ind w:firstLineChars="0"/>
        <w:rPr>
          <w:rFonts w:ascii="宋体" w:hAnsi="宋体"/>
          <w:szCs w:val="24"/>
        </w:rPr>
      </w:pPr>
      <w:r>
        <w:rPr>
          <w:rFonts w:ascii="宋体" w:hAnsi="宋体"/>
          <w:szCs w:val="24"/>
        </w:rPr>
        <w:t>有依法缴纳税收和社会保障资金的良好记录：投标截止日前</w:t>
      </w:r>
      <w:r>
        <w:rPr>
          <w:rFonts w:ascii="宋体" w:hAnsi="宋体"/>
          <w:spacing w:val="-3"/>
          <w:w w:val="110"/>
          <w:szCs w:val="24"/>
        </w:rPr>
        <w:t>6</w:t>
      </w:r>
      <w:r>
        <w:rPr>
          <w:rFonts w:ascii="宋体" w:hAnsi="宋体"/>
          <w:spacing w:val="-9"/>
          <w:szCs w:val="24"/>
        </w:rPr>
        <w:t>个月</w:t>
      </w:r>
      <w:r>
        <w:rPr>
          <w:rFonts w:ascii="宋体" w:hAnsi="宋体"/>
          <w:szCs w:val="24"/>
        </w:rPr>
        <w:t>内任意一个月的依法缴纳税收的证明文件复印件【缴纳税收的证明文件是指：加盖银行业务章的税收回单，或加盖税务部门电子征税专用章的税收电子转账专用完税证，或加盖税务部门公章的纳税证明；如</w:t>
      </w:r>
      <w:r>
        <w:rPr>
          <w:rFonts w:hint="eastAsia" w:ascii="宋体" w:hAnsi="宋体"/>
          <w:szCs w:val="24"/>
        </w:rPr>
        <w:t>服务</w:t>
      </w:r>
      <w:r>
        <w:rPr>
          <w:rFonts w:ascii="宋体" w:hAnsi="宋体"/>
          <w:szCs w:val="24"/>
        </w:rPr>
        <w:t>商在规定的时间段内没有发生业务的，则提供税务部门出具的纳税证明，或加盖税务部门公章的纳税申报表】；投标截止日前</w:t>
      </w:r>
      <w:r>
        <w:rPr>
          <w:rFonts w:ascii="宋体" w:hAnsi="宋体"/>
          <w:spacing w:val="-3"/>
          <w:w w:val="110"/>
          <w:szCs w:val="24"/>
        </w:rPr>
        <w:t>6</w:t>
      </w:r>
      <w:r>
        <w:rPr>
          <w:rFonts w:ascii="宋体" w:hAnsi="宋体"/>
          <w:spacing w:val="-9"/>
          <w:szCs w:val="24"/>
        </w:rPr>
        <w:t>个月</w:t>
      </w:r>
      <w:r>
        <w:rPr>
          <w:rFonts w:ascii="宋体" w:hAnsi="宋体"/>
          <w:szCs w:val="24"/>
        </w:rPr>
        <w:t>内任意一个月社保部门（或税务部门）出具的单位参加社会保险的证明文件复印件，或合法有效的社保部门（或税务部门）网站的电子证明打印件【内容应包含单位名称、参保（或缴费）信息、电子印章和日期等】。</w:t>
      </w:r>
    </w:p>
    <w:p>
      <w:pPr>
        <w:pStyle w:val="22"/>
        <w:numPr>
          <w:ilvl w:val="0"/>
          <w:numId w:val="5"/>
        </w:numPr>
        <w:ind w:firstLineChars="0"/>
        <w:rPr>
          <w:rFonts w:ascii="宋体" w:hAnsi="宋体"/>
          <w:szCs w:val="24"/>
        </w:rPr>
      </w:pPr>
      <w:r>
        <w:rPr>
          <w:rFonts w:ascii="宋体" w:hAnsi="宋体"/>
          <w:szCs w:val="24"/>
        </w:rPr>
        <w:t>具有良好的商业信誉和健全的财务会计制度：202</w:t>
      </w:r>
      <w:r>
        <w:rPr>
          <w:rFonts w:hint="eastAsia" w:ascii="宋体" w:hAnsi="宋体"/>
          <w:szCs w:val="24"/>
        </w:rPr>
        <w:t>1</w:t>
      </w:r>
      <w:r>
        <w:rPr>
          <w:rFonts w:ascii="宋体" w:hAnsi="宋体"/>
          <w:szCs w:val="24"/>
        </w:rPr>
        <w:t>年年度财务报表或投标截止日前</w:t>
      </w:r>
      <w:r>
        <w:rPr>
          <w:rFonts w:ascii="宋体" w:hAnsi="宋体"/>
          <w:spacing w:val="-3"/>
          <w:w w:val="110"/>
          <w:szCs w:val="24"/>
        </w:rPr>
        <w:t>6</w:t>
      </w:r>
      <w:r>
        <w:rPr>
          <w:rFonts w:ascii="宋体" w:hAnsi="宋体"/>
          <w:spacing w:val="-9"/>
          <w:szCs w:val="24"/>
        </w:rPr>
        <w:t>个月</w:t>
      </w:r>
      <w:r>
        <w:rPr>
          <w:rFonts w:ascii="宋体" w:hAnsi="宋体"/>
          <w:szCs w:val="24"/>
        </w:rPr>
        <w:t>内任意一个月的财务报表。【财务报表须包含资产负债表、利润表】。</w:t>
      </w:r>
    </w:p>
    <w:p>
      <w:pPr>
        <w:pStyle w:val="22"/>
        <w:numPr>
          <w:ilvl w:val="0"/>
          <w:numId w:val="5"/>
        </w:numPr>
        <w:ind w:firstLineChars="0"/>
        <w:rPr>
          <w:rFonts w:ascii="宋体" w:hAnsi="宋体"/>
          <w:szCs w:val="24"/>
        </w:rPr>
      </w:pPr>
      <w:r>
        <w:rPr>
          <w:rFonts w:ascii="宋体" w:hAnsi="宋体"/>
          <w:szCs w:val="24"/>
        </w:rPr>
        <w:t>履行合同所必须的设备和专业技术能力：按投标（响应）文件格式填报设备及专业技术能力情况。</w:t>
      </w:r>
    </w:p>
    <w:p>
      <w:pPr>
        <w:pStyle w:val="22"/>
        <w:numPr>
          <w:ilvl w:val="0"/>
          <w:numId w:val="5"/>
        </w:numPr>
        <w:ind w:firstLineChars="0"/>
        <w:rPr>
          <w:rFonts w:ascii="宋体" w:hAnsi="宋体"/>
          <w:szCs w:val="24"/>
        </w:rPr>
      </w:pPr>
      <w:r>
        <w:rPr>
          <w:rFonts w:ascii="宋体" w:hAnsi="宋体"/>
          <w:szCs w:val="24"/>
        </w:rPr>
        <w:t>参加采购活动前3年内，在经营活动中没有重大违法记录：参照投标（报价）函相关承诺格式内容。重大违法记录，是指</w:t>
      </w:r>
      <w:r>
        <w:rPr>
          <w:rFonts w:hint="eastAsia" w:ascii="宋体" w:hAnsi="宋体"/>
          <w:szCs w:val="24"/>
        </w:rPr>
        <w:t>服务</w:t>
      </w:r>
      <w:r>
        <w:rPr>
          <w:rFonts w:ascii="宋体" w:hAnsi="宋体"/>
          <w:szCs w:val="24"/>
        </w:rPr>
        <w:t>商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r>
        <w:rPr>
          <w:rFonts w:hint="eastAsia" w:ascii="宋体" w:hAnsi="宋体"/>
          <w:szCs w:val="24"/>
        </w:rPr>
        <w:t>。</w:t>
      </w:r>
    </w:p>
    <w:p>
      <w:pPr>
        <w:pStyle w:val="22"/>
        <w:numPr>
          <w:ilvl w:val="0"/>
          <w:numId w:val="5"/>
        </w:numPr>
        <w:ind w:firstLineChars="0"/>
        <w:rPr>
          <w:rFonts w:ascii="宋体" w:hAnsi="宋体"/>
          <w:szCs w:val="24"/>
        </w:rPr>
      </w:pPr>
      <w:r>
        <w:rPr>
          <w:rFonts w:ascii="宋体" w:hAnsi="宋体"/>
          <w:szCs w:val="24"/>
        </w:rPr>
        <w:t>信用记录：</w:t>
      </w:r>
      <w:r>
        <w:rPr>
          <w:rFonts w:hint="eastAsia" w:ascii="宋体" w:hAnsi="宋体"/>
          <w:szCs w:val="24"/>
        </w:rPr>
        <w:t>服务</w:t>
      </w:r>
      <w:r>
        <w:rPr>
          <w:rFonts w:ascii="宋体" w:hAnsi="宋体"/>
          <w:szCs w:val="24"/>
        </w:rPr>
        <w:t>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采购代理机构于投标（响应）截止时间当天在“信用中国”网站（</w:t>
      </w:r>
      <w:r>
        <w:rPr>
          <w:rFonts w:ascii="宋体" w:hAnsi="宋体"/>
          <w:szCs w:val="24"/>
        </w:rPr>
        <w:fldChar w:fldCharType="begin"/>
      </w:r>
      <w:r>
        <w:rPr>
          <w:rFonts w:ascii="宋体" w:hAnsi="宋体"/>
          <w:szCs w:val="24"/>
        </w:rPr>
        <w:instrText xml:space="preserve"> HYPERLINK "http://www.creditchina.gov.cn/" \h </w:instrText>
      </w:r>
      <w:r>
        <w:rPr>
          <w:rFonts w:ascii="宋体" w:hAnsi="宋体"/>
          <w:szCs w:val="24"/>
        </w:rPr>
        <w:fldChar w:fldCharType="separate"/>
      </w:r>
      <w:r>
        <w:rPr>
          <w:rFonts w:ascii="宋体" w:hAnsi="宋体"/>
          <w:szCs w:val="24"/>
        </w:rPr>
        <w:t>www.creditchina.gov.cn</w:t>
      </w:r>
      <w:r>
        <w:rPr>
          <w:rFonts w:ascii="宋体" w:hAnsi="宋体"/>
          <w:szCs w:val="24"/>
        </w:rPr>
        <w:fldChar w:fldCharType="end"/>
      </w:r>
      <w:r>
        <w:rPr>
          <w:rFonts w:ascii="宋体" w:hAnsi="宋体"/>
          <w:szCs w:val="24"/>
        </w:rPr>
        <w:t>）及中国政府采购网（</w:t>
      </w:r>
      <w:r>
        <w:rPr>
          <w:rFonts w:ascii="宋体" w:hAnsi="宋体"/>
          <w:szCs w:val="24"/>
        </w:rPr>
        <w:fldChar w:fldCharType="begin"/>
      </w:r>
      <w:r>
        <w:rPr>
          <w:rFonts w:ascii="宋体" w:hAnsi="宋体"/>
          <w:szCs w:val="24"/>
        </w:rPr>
        <w:instrText xml:space="preserve"> HYPERLINK "http://www.ccgp.gov.cn/" \h </w:instrText>
      </w:r>
      <w:r>
        <w:rPr>
          <w:rFonts w:ascii="宋体" w:hAnsi="宋体"/>
          <w:szCs w:val="24"/>
        </w:rPr>
        <w:fldChar w:fldCharType="separate"/>
      </w:r>
      <w:r>
        <w:rPr>
          <w:rFonts w:ascii="宋体" w:hAnsi="宋体"/>
          <w:szCs w:val="24"/>
        </w:rPr>
        <w:t>http://www.ccgp.gov.cn/</w:t>
      </w:r>
      <w:r>
        <w:rPr>
          <w:rFonts w:ascii="宋体" w:hAnsi="宋体"/>
          <w:szCs w:val="24"/>
        </w:rPr>
        <w:fldChar w:fldCharType="end"/>
      </w:r>
      <w:r>
        <w:rPr>
          <w:rFonts w:ascii="宋体" w:hAnsi="宋体"/>
          <w:szCs w:val="24"/>
        </w:rPr>
        <w:t>）查询结果为准，如相关失信记录已失效，</w:t>
      </w:r>
      <w:r>
        <w:rPr>
          <w:rFonts w:hint="eastAsia" w:ascii="宋体" w:hAnsi="宋体"/>
          <w:szCs w:val="24"/>
        </w:rPr>
        <w:t>服务</w:t>
      </w:r>
      <w:r>
        <w:rPr>
          <w:rFonts w:ascii="宋体" w:hAnsi="宋体"/>
          <w:szCs w:val="24"/>
        </w:rPr>
        <w:t>商需提供相关证明资料）。</w:t>
      </w:r>
    </w:p>
    <w:p>
      <w:pPr>
        <w:pStyle w:val="22"/>
        <w:numPr>
          <w:ilvl w:val="0"/>
          <w:numId w:val="5"/>
        </w:numPr>
        <w:ind w:firstLineChars="0"/>
        <w:rPr>
          <w:rFonts w:ascii="宋体" w:hAnsi="宋体"/>
          <w:szCs w:val="24"/>
        </w:rPr>
      </w:pPr>
      <w:r>
        <w:rPr>
          <w:rFonts w:hint="eastAsia" w:ascii="宋体" w:hAnsi="宋体"/>
          <w:szCs w:val="24"/>
        </w:rPr>
        <w:t>服务</w:t>
      </w:r>
      <w:r>
        <w:rPr>
          <w:rFonts w:ascii="宋体" w:hAnsi="宋体"/>
          <w:szCs w:val="24"/>
        </w:rPr>
        <w:t>商必须符合法律、行政法规规定的其他条件：单位负责人为同一人或者存在直接控股、管理关系的不同</w:t>
      </w:r>
      <w:r>
        <w:rPr>
          <w:rFonts w:hint="eastAsia" w:ascii="宋体" w:hAnsi="宋体"/>
          <w:szCs w:val="24"/>
        </w:rPr>
        <w:t>服务</w:t>
      </w:r>
      <w:r>
        <w:rPr>
          <w:rFonts w:ascii="宋体" w:hAnsi="宋体"/>
          <w:szCs w:val="24"/>
        </w:rPr>
        <w:t>商，不得同时参加本采购项目（包组）投标。为本项目提供整体设计、规范编制或者项目管理、监理、检测等服务的</w:t>
      </w:r>
      <w:r>
        <w:rPr>
          <w:rFonts w:hint="eastAsia" w:ascii="宋体" w:hAnsi="宋体"/>
          <w:szCs w:val="24"/>
        </w:rPr>
        <w:t>服务</w:t>
      </w:r>
      <w:r>
        <w:rPr>
          <w:rFonts w:ascii="宋体" w:hAnsi="宋体"/>
          <w:szCs w:val="24"/>
        </w:rPr>
        <w:t>商，不得再参与本项目投标。 投标（报价）函相关承诺要求内容。</w:t>
      </w:r>
    </w:p>
    <w:p>
      <w:pPr>
        <w:pStyle w:val="4"/>
        <w:numPr>
          <w:ilvl w:val="1"/>
          <w:numId w:val="4"/>
        </w:numPr>
        <w:spacing w:before="0" w:after="0"/>
        <w:ind w:left="704"/>
        <w:rPr>
          <w:rFonts w:ascii="宋体" w:hAnsi="宋体" w:eastAsia="宋体"/>
          <w:b w:val="0"/>
          <w:bCs/>
          <w:sz w:val="24"/>
          <w:szCs w:val="24"/>
        </w:rPr>
      </w:pPr>
      <w:r>
        <w:rPr>
          <w:rFonts w:ascii="宋体" w:hAnsi="宋体" w:eastAsia="宋体"/>
          <w:b w:val="0"/>
          <w:bCs/>
          <w:sz w:val="24"/>
          <w:szCs w:val="24"/>
        </w:rPr>
        <w:t>本项目特定的资格要求：</w:t>
      </w:r>
      <w:r>
        <w:rPr>
          <w:rFonts w:hint="eastAsia" w:ascii="宋体" w:hAnsi="宋体" w:eastAsia="宋体"/>
          <w:b w:val="0"/>
          <w:bCs/>
          <w:sz w:val="24"/>
          <w:szCs w:val="24"/>
        </w:rPr>
        <w:t>无。</w:t>
      </w:r>
    </w:p>
    <w:p>
      <w:pPr>
        <w:pStyle w:val="2"/>
        <w:spacing w:line="360" w:lineRule="auto"/>
      </w:pPr>
      <w:r>
        <w:br w:type="page"/>
      </w:r>
    </w:p>
    <w:p>
      <w:pPr>
        <w:pStyle w:val="3"/>
        <w:numPr>
          <w:ilvl w:val="0"/>
          <w:numId w:val="3"/>
        </w:numPr>
        <w:spacing w:before="0" w:after="0"/>
        <w:jc w:val="left"/>
        <w:rPr>
          <w:rFonts w:ascii="黑体" w:hAnsi="黑体" w:eastAsia="黑体" w:cs="黑体"/>
          <w:bCs/>
          <w:kern w:val="0"/>
          <w:sz w:val="32"/>
          <w:szCs w:val="32"/>
          <w:lang w:val="zh-CN"/>
        </w:rPr>
      </w:pPr>
      <w:r>
        <w:rPr>
          <w:rFonts w:hint="eastAsia" w:ascii="黑体" w:hAnsi="黑体" w:eastAsia="黑体" w:cs="黑体"/>
          <w:bCs/>
          <w:kern w:val="0"/>
          <w:sz w:val="32"/>
          <w:szCs w:val="32"/>
          <w:lang w:val="zh-CN"/>
        </w:rPr>
        <w:t>用户需求</w:t>
      </w:r>
    </w:p>
    <w:p>
      <w:pPr>
        <w:pStyle w:val="4"/>
        <w:numPr>
          <w:ilvl w:val="1"/>
          <w:numId w:val="6"/>
        </w:numPr>
        <w:spacing w:before="0" w:after="0"/>
        <w:rPr>
          <w:rFonts w:ascii="宋体" w:hAnsi="宋体" w:eastAsia="宋体"/>
          <w:b w:val="0"/>
          <w:bCs/>
          <w:sz w:val="24"/>
          <w:szCs w:val="24"/>
        </w:rPr>
      </w:pPr>
      <w:r>
        <w:rPr>
          <w:rFonts w:hint="eastAsia" w:ascii="宋体" w:hAnsi="宋体" w:eastAsia="宋体"/>
          <w:b w:val="0"/>
          <w:bCs/>
          <w:sz w:val="24"/>
          <w:szCs w:val="24"/>
        </w:rPr>
        <w:t>服务要求</w:t>
      </w:r>
    </w:p>
    <w:tbl>
      <w:tblPr>
        <w:tblStyle w:val="18"/>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1414"/>
        <w:gridCol w:w="6100"/>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708" w:type="dxa"/>
            <w:shd w:val="clear" w:color="000000" w:fill="FFFFFF"/>
            <w:vAlign w:val="center"/>
          </w:tcPr>
          <w:p>
            <w:pPr>
              <w:jc w:val="center"/>
              <w:rPr>
                <w:rFonts w:ascii="宋体" w:hAnsi="宋体" w:cs="宋体"/>
                <w:kern w:val="0"/>
              </w:rPr>
            </w:pPr>
            <w:r>
              <w:rPr>
                <w:rFonts w:hint="eastAsia" w:ascii="宋体" w:hAnsi="宋体" w:cs="宋体"/>
                <w:kern w:val="0"/>
              </w:rPr>
              <w:t>序号</w:t>
            </w:r>
          </w:p>
        </w:tc>
        <w:tc>
          <w:tcPr>
            <w:tcW w:w="1414" w:type="dxa"/>
            <w:shd w:val="clear" w:color="000000" w:fill="FFFFFF"/>
            <w:vAlign w:val="center"/>
          </w:tcPr>
          <w:p>
            <w:pPr>
              <w:jc w:val="center"/>
              <w:rPr>
                <w:rFonts w:ascii="宋体" w:hAnsi="宋体" w:cs="宋体"/>
                <w:kern w:val="0"/>
              </w:rPr>
            </w:pPr>
            <w:r>
              <w:rPr>
                <w:rFonts w:hint="eastAsia" w:ascii="宋体" w:hAnsi="宋体" w:cs="宋体"/>
                <w:kern w:val="0"/>
              </w:rPr>
              <w:t>服务名称</w:t>
            </w:r>
          </w:p>
        </w:tc>
        <w:tc>
          <w:tcPr>
            <w:tcW w:w="6100" w:type="dxa"/>
            <w:shd w:val="clear" w:color="000000" w:fill="FFFFFF"/>
            <w:vAlign w:val="center"/>
          </w:tcPr>
          <w:p>
            <w:pPr>
              <w:jc w:val="center"/>
              <w:rPr>
                <w:rFonts w:ascii="宋体" w:hAnsi="宋体" w:cs="宋体"/>
                <w:kern w:val="0"/>
              </w:rPr>
            </w:pPr>
            <w:r>
              <w:rPr>
                <w:rFonts w:hint="eastAsia" w:ascii="宋体" w:hAnsi="宋体" w:cs="宋体"/>
                <w:kern w:val="0"/>
              </w:rPr>
              <w:t>技术参数</w:t>
            </w:r>
          </w:p>
        </w:tc>
        <w:tc>
          <w:tcPr>
            <w:tcW w:w="850" w:type="dxa"/>
            <w:shd w:val="clear" w:color="000000" w:fill="FFFFFF"/>
            <w:vAlign w:val="center"/>
          </w:tcPr>
          <w:p>
            <w:pPr>
              <w:jc w:val="center"/>
              <w:rPr>
                <w:rFonts w:ascii="宋体" w:hAnsi="宋体" w:cs="宋体"/>
                <w:kern w:val="0"/>
              </w:rPr>
            </w:pPr>
            <w:r>
              <w:rPr>
                <w:rFonts w:hint="eastAsia" w:ascii="宋体" w:hAnsi="宋体" w:cs="宋体"/>
                <w:kern w:val="0"/>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jc w:val="center"/>
        </w:trPr>
        <w:tc>
          <w:tcPr>
            <w:tcW w:w="708" w:type="dxa"/>
            <w:shd w:val="clear" w:color="auto" w:fill="auto"/>
            <w:noWrap/>
            <w:vAlign w:val="center"/>
          </w:tcPr>
          <w:p>
            <w:pPr>
              <w:jc w:val="center"/>
              <w:rPr>
                <w:rFonts w:ascii="宋体" w:hAnsi="宋体" w:cs="宋体"/>
                <w:kern w:val="0"/>
              </w:rPr>
            </w:pPr>
            <w:r>
              <w:rPr>
                <w:rFonts w:hint="eastAsia" w:ascii="宋体" w:hAnsi="宋体" w:cs="宋体"/>
                <w:kern w:val="0"/>
              </w:rPr>
              <w:t>1</w:t>
            </w:r>
          </w:p>
        </w:tc>
        <w:tc>
          <w:tcPr>
            <w:tcW w:w="1414" w:type="dxa"/>
            <w:shd w:val="clear" w:color="auto" w:fill="auto"/>
            <w:vAlign w:val="center"/>
          </w:tcPr>
          <w:p>
            <w:pPr>
              <w:rPr>
                <w:rFonts w:ascii="宋体" w:hAnsi="宋体" w:cs="宋体"/>
                <w:kern w:val="0"/>
              </w:rPr>
            </w:pPr>
            <w:r>
              <w:rPr>
                <w:rFonts w:hint="eastAsia" w:ascii="宋体" w:hAnsi="宋体" w:cs="宋体"/>
                <w:kern w:val="0"/>
              </w:rPr>
              <w:t>网络安全等级保护测评服务（二级）</w:t>
            </w:r>
          </w:p>
        </w:tc>
        <w:tc>
          <w:tcPr>
            <w:tcW w:w="6100" w:type="dxa"/>
            <w:shd w:val="clear" w:color="auto" w:fill="auto"/>
            <w:vAlign w:val="center"/>
          </w:tcPr>
          <w:p>
            <w:pPr>
              <w:rPr>
                <w:rFonts w:ascii="宋体" w:hAnsi="宋体" w:cs="宋体"/>
                <w:kern w:val="0"/>
              </w:rPr>
            </w:pPr>
            <w:r>
              <w:rPr>
                <w:rFonts w:hint="eastAsia" w:ascii="宋体" w:hAnsi="宋体" w:cs="宋体"/>
                <w:kern w:val="0"/>
              </w:rPr>
              <w:t>1、依据《信息安全技术网络安全等级保护基本要求》（GB/T 22239--2019）、《信息安全技术 网络安全等级保护测评要求》（GB/T 28448--2019）开展等级保护测评服务工作。</w:t>
            </w:r>
          </w:p>
          <w:p>
            <w:pPr>
              <w:rPr>
                <w:rFonts w:ascii="宋体" w:hAnsi="宋体" w:cs="宋体"/>
                <w:kern w:val="0"/>
              </w:rPr>
            </w:pPr>
            <w:r>
              <w:rPr>
                <w:rFonts w:hint="eastAsia" w:ascii="宋体" w:hAnsi="宋体" w:cs="宋体"/>
                <w:kern w:val="0"/>
              </w:rPr>
              <w:t>2、等级保护测评指标：安全通用要求包括安全物理环境、安全通信网络、安全区域边界、安全计算环境、安全管理中心、安全管理制度、安全管理机构、安全管理人员、安全建设管理、安全运维管理10大项共135小项，云计算安全扩展要求包括安全物理环境、安全通信网络、安全区域边界、安全计算环境、安全建设管理、安全运维管理6大项共29小项。</w:t>
            </w:r>
          </w:p>
          <w:p>
            <w:pPr>
              <w:rPr>
                <w:rFonts w:ascii="宋体" w:hAnsi="宋体" w:cs="宋体"/>
                <w:kern w:val="0"/>
              </w:rPr>
            </w:pPr>
            <w:r>
              <w:rPr>
                <w:rFonts w:hint="eastAsia" w:ascii="宋体" w:hAnsi="宋体" w:cs="宋体"/>
                <w:kern w:val="0"/>
              </w:rPr>
              <w:t>3、服务内容包含系统定级、专家论证和负责聘请有资质的第三方机构出具相关报告。</w:t>
            </w:r>
          </w:p>
          <w:p>
            <w:pPr>
              <w:rPr>
                <w:rFonts w:ascii="宋体" w:hAnsi="宋体" w:cs="宋体"/>
                <w:kern w:val="0"/>
              </w:rPr>
            </w:pPr>
            <w:r>
              <w:rPr>
                <w:rFonts w:hint="eastAsia" w:ascii="宋体" w:hAnsi="宋体" w:cs="宋体"/>
                <w:kern w:val="0"/>
              </w:rPr>
              <w:t>4、输出：符合公安系统要求的《网络安全等级保护测评报告》。</w:t>
            </w:r>
          </w:p>
        </w:tc>
        <w:tc>
          <w:tcPr>
            <w:tcW w:w="850" w:type="dxa"/>
            <w:shd w:val="clear" w:color="auto" w:fill="auto"/>
            <w:vAlign w:val="center"/>
          </w:tcPr>
          <w:p>
            <w:pPr>
              <w:jc w:val="center"/>
              <w:rPr>
                <w:rFonts w:ascii="宋体" w:hAnsi="宋体" w:cs="宋体"/>
                <w:kern w:val="0"/>
              </w:rPr>
            </w:pPr>
            <w:r>
              <w:rPr>
                <w:rFonts w:hint="eastAsia" w:ascii="宋体" w:hAnsi="宋体" w:cs="宋体"/>
                <w:kern w:val="0"/>
              </w:rPr>
              <w:t>1个/次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08" w:type="dxa"/>
            <w:shd w:val="clear" w:color="auto" w:fill="auto"/>
            <w:noWrap/>
            <w:vAlign w:val="center"/>
          </w:tcPr>
          <w:p>
            <w:pPr>
              <w:jc w:val="center"/>
              <w:rPr>
                <w:rFonts w:ascii="宋体" w:hAnsi="宋体" w:cs="宋体"/>
                <w:kern w:val="0"/>
              </w:rPr>
            </w:pPr>
            <w:r>
              <w:rPr>
                <w:rFonts w:hint="eastAsia" w:ascii="宋体" w:hAnsi="宋体" w:cs="宋体"/>
                <w:kern w:val="0"/>
              </w:rPr>
              <w:t>2</w:t>
            </w:r>
          </w:p>
        </w:tc>
        <w:tc>
          <w:tcPr>
            <w:tcW w:w="1414" w:type="dxa"/>
            <w:shd w:val="clear" w:color="auto" w:fill="auto"/>
            <w:vAlign w:val="center"/>
          </w:tcPr>
          <w:p>
            <w:pPr>
              <w:jc w:val="center"/>
              <w:rPr>
                <w:rFonts w:ascii="宋体" w:hAnsi="宋体" w:cs="宋体"/>
                <w:kern w:val="0"/>
              </w:rPr>
            </w:pPr>
            <w:r>
              <w:rPr>
                <w:rFonts w:hint="eastAsia" w:ascii="宋体" w:hAnsi="宋体" w:cs="宋体"/>
                <w:kern w:val="0"/>
              </w:rPr>
              <w:t>安全加固服务</w:t>
            </w:r>
          </w:p>
        </w:tc>
        <w:tc>
          <w:tcPr>
            <w:tcW w:w="6100" w:type="dxa"/>
            <w:shd w:val="clear" w:color="auto" w:fill="auto"/>
            <w:vAlign w:val="center"/>
          </w:tcPr>
          <w:p>
            <w:pPr>
              <w:rPr>
                <w:rFonts w:ascii="宋体" w:hAnsi="宋体" w:cs="宋体"/>
                <w:kern w:val="0"/>
              </w:rPr>
            </w:pPr>
            <w:r>
              <w:rPr>
                <w:rFonts w:hint="eastAsia" w:ascii="宋体" w:hAnsi="宋体" w:cs="宋体"/>
                <w:kern w:val="0"/>
              </w:rPr>
              <w:t>▲1、安全服务数量：200个。</w:t>
            </w:r>
          </w:p>
          <w:p>
            <w:pPr>
              <w:rPr>
                <w:rFonts w:ascii="宋体" w:hAnsi="宋体" w:cs="宋体"/>
                <w:kern w:val="0"/>
              </w:rPr>
            </w:pPr>
            <w:r>
              <w:rPr>
                <w:rFonts w:hint="eastAsia" w:ascii="宋体" w:hAnsi="宋体" w:cs="宋体"/>
                <w:kern w:val="0"/>
              </w:rPr>
              <w:t>2、对蓬江区政府中心机房现有的虚拟机操作系统、网络设备、安全设备实施安全评估服务，安全评估内容主要包括：系统补丁修补、系统账号权限、文件系统权限、网络端口及系统服务运作、系统安全配置文件和文件共享。</w:t>
            </w:r>
          </w:p>
          <w:p>
            <w:pPr>
              <w:rPr>
                <w:rFonts w:ascii="宋体" w:hAnsi="宋体" w:cs="宋体"/>
                <w:kern w:val="0"/>
              </w:rPr>
            </w:pPr>
            <w:r>
              <w:rPr>
                <w:rFonts w:hint="eastAsia" w:ascii="宋体" w:hAnsi="宋体" w:cs="宋体"/>
                <w:kern w:val="0"/>
              </w:rPr>
              <w:t>3、对蓬江区政府中心机房现有的虚拟机操作系统实施安全加固服务，根据前期的安全评估所发现的问题实施安全加固，安全加固服务主要包括：服务器操作系统层面的安全加固；协助软件开发商进行数据库系统、业务系统整改后的漏洞验证；交换机、防火墙、IPS、WAF设备安全加固；安全加固主要以人工测试验证的方式实现，在保障系统安全的同时不影响系统的业务使用。</w:t>
            </w:r>
          </w:p>
          <w:p>
            <w:pPr>
              <w:rPr>
                <w:rFonts w:ascii="宋体" w:hAnsi="宋体" w:cs="宋体"/>
                <w:kern w:val="0"/>
              </w:rPr>
            </w:pPr>
            <w:r>
              <w:rPr>
                <w:rFonts w:hint="eastAsia" w:ascii="宋体" w:hAnsi="宋体" w:cs="宋体"/>
                <w:kern w:val="0"/>
              </w:rPr>
              <w:t>4、每季度提供一次服务报告。</w:t>
            </w:r>
          </w:p>
        </w:tc>
        <w:tc>
          <w:tcPr>
            <w:tcW w:w="850" w:type="dxa"/>
            <w:shd w:val="clear" w:color="auto" w:fill="auto"/>
            <w:vAlign w:val="center"/>
          </w:tcPr>
          <w:p>
            <w:pPr>
              <w:jc w:val="center"/>
              <w:rPr>
                <w:rFonts w:ascii="宋体" w:hAnsi="宋体" w:cs="宋体"/>
                <w:kern w:val="0"/>
              </w:rPr>
            </w:pPr>
            <w:r>
              <w:rPr>
                <w:rFonts w:hint="eastAsia" w:ascii="宋体" w:hAnsi="宋体" w:cs="宋体"/>
                <w:kern w:val="0"/>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jc w:val="center"/>
        </w:trPr>
        <w:tc>
          <w:tcPr>
            <w:tcW w:w="708" w:type="dxa"/>
            <w:shd w:val="clear" w:color="auto" w:fill="auto"/>
            <w:noWrap/>
            <w:vAlign w:val="center"/>
          </w:tcPr>
          <w:p>
            <w:pPr>
              <w:jc w:val="center"/>
              <w:rPr>
                <w:rFonts w:ascii="宋体" w:hAnsi="宋体" w:cs="宋体"/>
                <w:kern w:val="0"/>
              </w:rPr>
            </w:pPr>
            <w:r>
              <w:rPr>
                <w:rFonts w:hint="eastAsia" w:ascii="宋体" w:hAnsi="宋体" w:cs="宋体"/>
                <w:kern w:val="0"/>
              </w:rPr>
              <w:t>3</w:t>
            </w:r>
          </w:p>
        </w:tc>
        <w:tc>
          <w:tcPr>
            <w:tcW w:w="1414" w:type="dxa"/>
            <w:shd w:val="clear" w:color="auto" w:fill="auto"/>
            <w:vAlign w:val="center"/>
          </w:tcPr>
          <w:p>
            <w:pPr>
              <w:jc w:val="center"/>
              <w:rPr>
                <w:rFonts w:ascii="宋体" w:hAnsi="宋体" w:cs="宋体"/>
                <w:kern w:val="0"/>
              </w:rPr>
            </w:pPr>
            <w:r>
              <w:rPr>
                <w:rFonts w:hint="eastAsia" w:ascii="宋体" w:hAnsi="宋体" w:cs="宋体"/>
                <w:kern w:val="0"/>
              </w:rPr>
              <w:t>云防御服务</w:t>
            </w:r>
          </w:p>
        </w:tc>
        <w:tc>
          <w:tcPr>
            <w:tcW w:w="6100" w:type="dxa"/>
            <w:shd w:val="clear" w:color="auto" w:fill="auto"/>
            <w:vAlign w:val="center"/>
          </w:tcPr>
          <w:p>
            <w:pPr>
              <w:rPr>
                <w:rFonts w:ascii="宋体" w:hAnsi="宋体" w:cs="宋体"/>
                <w:kern w:val="0"/>
              </w:rPr>
            </w:pPr>
            <w:r>
              <w:rPr>
                <w:rFonts w:hint="eastAsia" w:ascii="宋体" w:hAnsi="宋体" w:cs="宋体"/>
                <w:kern w:val="0"/>
              </w:rPr>
              <w:t>▲1、云防御数量：3个网站防御授权。</w:t>
            </w:r>
          </w:p>
          <w:p>
            <w:pPr>
              <w:rPr>
                <w:rFonts w:ascii="宋体" w:hAnsi="宋体" w:cs="宋体"/>
                <w:kern w:val="0"/>
              </w:rPr>
            </w:pPr>
            <w:r>
              <w:rPr>
                <w:rFonts w:hint="eastAsia" w:ascii="宋体" w:hAnsi="宋体" w:cs="宋体"/>
                <w:kern w:val="0"/>
              </w:rPr>
              <w:t>2、专业级防护：通过修改DNS CNAME解析的方式把流量牵引到云端WAF，防护后把请求指回到源站；通过DNS转向进行攻击防护；可防护SQL注入、命令注入、跨站脚本、文件包含、信息探测等常见攻击，防止网站因为漏洞导致被篡改，被拖库，被入侵；可以设置防火墙策略拦截的IP屏蔽时间；对指定的Web防火墙策略不进行拦截；可精准识别多种自动化扫描和攻击软件，深度解析编码过的、畸形的恶意代码，并阻断其请求，减少90%以上的恶意攻击。</w:t>
            </w:r>
          </w:p>
          <w:p>
            <w:pPr>
              <w:rPr>
                <w:rFonts w:ascii="宋体" w:hAnsi="宋体" w:cs="宋体"/>
                <w:kern w:val="0"/>
              </w:rPr>
            </w:pPr>
            <w:r>
              <w:rPr>
                <w:rFonts w:hint="eastAsia" w:ascii="宋体" w:hAnsi="宋体" w:cs="宋体"/>
                <w:kern w:val="0"/>
              </w:rPr>
              <w:t>3、Web漏洞封堵：能够对网站进行漏洞检测，并提供防护前后的漏洞状态对比效果展示。能够根据网站漏洞检测结果生成“智能补丁”并下发至防护节点IP封禁：可以针对每个被防护站点，限制访问IP的范围。</w:t>
            </w:r>
          </w:p>
          <w:p>
            <w:pPr>
              <w:rPr>
                <w:rFonts w:ascii="宋体" w:hAnsi="宋体" w:cs="宋体"/>
                <w:kern w:val="0"/>
              </w:rPr>
            </w:pPr>
            <w:r>
              <w:rPr>
                <w:rFonts w:hint="eastAsia" w:ascii="宋体" w:hAnsi="宋体" w:cs="宋体"/>
                <w:kern w:val="0"/>
              </w:rPr>
              <w:t>4、抗攻击服务： 大流量攻击防护，如支持SYN Flood、ACK Flood、ICMP Flood、UDP Flood、NTP Flood 、SSDP Flood、HTTP Flood、DNS Flood，SIP攻击等多种主流攻击类型；支持CC攻击防护。</w:t>
            </w:r>
          </w:p>
          <w:p>
            <w:pPr>
              <w:rPr>
                <w:rFonts w:ascii="宋体" w:hAnsi="宋体" w:cs="宋体"/>
                <w:kern w:val="0"/>
              </w:rPr>
            </w:pPr>
            <w:r>
              <w:rPr>
                <w:rFonts w:hint="eastAsia" w:ascii="宋体" w:hAnsi="宋体" w:cs="宋体"/>
                <w:kern w:val="0"/>
              </w:rPr>
              <w:t>5、实时防御动态服务： 展示所有被防护站点的整体安全态势，包括：在地图中实时展示出当前攻击情况；统计最近一段时间内访问、告警趋势；TOP5 被攻击URL；TOP5攻击源IP。对单个被防护站点：对被攻击TOP10 的URL进行逐层向下钻取，了解此URL下的TOP10攻击源IP，再针对其下的某个源IP，了解其主要的攻击手段。</w:t>
            </w:r>
          </w:p>
          <w:p>
            <w:pPr>
              <w:rPr>
                <w:rFonts w:ascii="宋体" w:hAnsi="宋体" w:cs="宋体"/>
                <w:kern w:val="0"/>
              </w:rPr>
            </w:pPr>
            <w:r>
              <w:rPr>
                <w:rFonts w:hint="eastAsia" w:ascii="宋体" w:hAnsi="宋体" w:cs="宋体"/>
                <w:kern w:val="0"/>
              </w:rPr>
              <w:t>6、每季度提供一次服务报告。</w:t>
            </w:r>
          </w:p>
          <w:p>
            <w:pPr>
              <w:rPr>
                <w:rFonts w:ascii="宋体" w:hAnsi="宋体" w:cs="宋体"/>
                <w:kern w:val="0"/>
              </w:rPr>
            </w:pPr>
            <w:r>
              <w:rPr>
                <w:rFonts w:hint="eastAsia" w:ascii="宋体" w:hAnsi="宋体" w:cs="宋体"/>
                <w:kern w:val="0"/>
              </w:rPr>
              <w:t>7、服务工具要求：</w:t>
            </w:r>
          </w:p>
          <w:p>
            <w:pPr>
              <w:rPr>
                <w:rFonts w:ascii="宋体" w:hAnsi="宋体" w:cs="宋体"/>
                <w:kern w:val="0"/>
              </w:rPr>
            </w:pPr>
            <w:r>
              <w:rPr>
                <w:rFonts w:hint="eastAsia" w:ascii="宋体" w:hAnsi="宋体" w:cs="宋体"/>
                <w:kern w:val="0"/>
              </w:rPr>
              <w:t>（1）工具形态:基于云、大数据、内容分发等技术为网站安全提供SaaS形式的云防御；非硬件WAF和软件；能够单次反向代理实现CDN、WAF、抗D功能模块，实现同一控制台统一管理功能模块；</w:t>
            </w:r>
          </w:p>
          <w:p>
            <w:pPr>
              <w:rPr>
                <w:rFonts w:ascii="宋体" w:hAnsi="宋体" w:cs="宋体"/>
                <w:kern w:val="0"/>
              </w:rPr>
            </w:pPr>
            <w:r>
              <w:rPr>
                <w:rFonts w:hint="eastAsia" w:ascii="宋体" w:hAnsi="宋体" w:cs="宋体"/>
                <w:kern w:val="0"/>
              </w:rPr>
              <w:t>▲（2）防御节点:至少20个分布在各地的防御节点；提供20个以上不同C类网段节点证明；提供增值电信业务经营许可证（内容分发-全国）；</w:t>
            </w:r>
          </w:p>
          <w:p>
            <w:pPr>
              <w:rPr>
                <w:rFonts w:ascii="宋体" w:hAnsi="宋体" w:cs="宋体"/>
                <w:kern w:val="0"/>
              </w:rPr>
            </w:pPr>
            <w:r>
              <w:rPr>
                <w:rFonts w:hint="eastAsia" w:ascii="宋体" w:hAnsi="宋体" w:cs="宋体"/>
                <w:kern w:val="0"/>
              </w:rPr>
              <w:t>（3）部署方式:无需在服务器安装任何客户端，无需要部署任何硬件设备，采用DNS牵引方式进行引流防护，采用NS或者cname方式将网站接入防护，纯SaaS服务方式；</w:t>
            </w:r>
          </w:p>
          <w:p>
            <w:pPr>
              <w:rPr>
                <w:rFonts w:ascii="宋体" w:hAnsi="宋体" w:cs="宋体"/>
                <w:kern w:val="0"/>
              </w:rPr>
            </w:pPr>
            <w:r>
              <w:rPr>
                <w:rFonts w:hint="eastAsia" w:ascii="宋体" w:hAnsi="宋体" w:cs="宋体"/>
                <w:kern w:val="0"/>
              </w:rPr>
              <w:t>（4）带宽及性能:对网站及主机的带宽与QPS无限制；</w:t>
            </w:r>
          </w:p>
          <w:p>
            <w:pPr>
              <w:rPr>
                <w:rFonts w:ascii="宋体" w:hAnsi="宋体" w:cs="宋体"/>
                <w:kern w:val="0"/>
              </w:rPr>
            </w:pPr>
            <w:r>
              <w:rPr>
                <w:rFonts w:hint="eastAsia" w:ascii="宋体" w:hAnsi="宋体" w:cs="宋体"/>
                <w:kern w:val="0"/>
              </w:rPr>
              <w:t>▲（5）网站防御能力:扫描器/爬虫防御策略，异常HTTP请求防御，SQL注入防护，Webshell防护，XSS防护，命令/代码执行防护，文件包含/注入防护，特殊/其他攻击。（须提供相关防御能力的管理界面截图证明）；</w:t>
            </w:r>
          </w:p>
          <w:p>
            <w:pPr>
              <w:rPr>
                <w:rFonts w:ascii="宋体" w:hAnsi="宋体" w:cs="宋体"/>
                <w:kern w:val="0"/>
              </w:rPr>
            </w:pPr>
            <w:r>
              <w:rPr>
                <w:rFonts w:hint="eastAsia" w:ascii="宋体" w:hAnsi="宋体" w:cs="宋体"/>
                <w:kern w:val="0"/>
              </w:rPr>
              <w:t>（6）防扫描:具备防恶意扫描，能够对互联网的恶意扫描行为（至少能够识别互联网流行的100款扫描器）进行识别，并将其阻断；</w:t>
            </w:r>
          </w:p>
          <w:p>
            <w:pPr>
              <w:rPr>
                <w:rFonts w:ascii="宋体" w:hAnsi="宋体" w:cs="宋体"/>
                <w:kern w:val="0"/>
              </w:rPr>
            </w:pPr>
            <w:r>
              <w:rPr>
                <w:rFonts w:hint="eastAsia" w:ascii="宋体" w:hAnsi="宋体" w:cs="宋体"/>
                <w:kern w:val="0"/>
              </w:rPr>
              <w:t>（7）防爬虫:具备防爬虫，能够防护针对业务系统的爬取内容和数据（至少能够识别50种类型的爬虫程序）的行为；</w:t>
            </w:r>
          </w:p>
          <w:p>
            <w:pPr>
              <w:rPr>
                <w:rFonts w:ascii="宋体" w:hAnsi="宋体" w:cs="宋体"/>
                <w:kern w:val="0"/>
              </w:rPr>
            </w:pPr>
            <w:r>
              <w:rPr>
                <w:rFonts w:hint="eastAsia" w:ascii="宋体" w:hAnsi="宋体" w:cs="宋体"/>
                <w:kern w:val="0"/>
              </w:rPr>
              <w:t>（8）入侵防护:具备防漏洞攻击，保证高危漏洞出现时在2-6小时内构建安全防护规则，保证门户、业务系统等应用；</w:t>
            </w:r>
          </w:p>
          <w:p>
            <w:pPr>
              <w:rPr>
                <w:rFonts w:ascii="宋体" w:hAnsi="宋体" w:cs="宋体"/>
                <w:kern w:val="0"/>
              </w:rPr>
            </w:pPr>
            <w:r>
              <w:rPr>
                <w:rFonts w:hint="eastAsia" w:ascii="宋体" w:hAnsi="宋体" w:cs="宋体"/>
                <w:kern w:val="0"/>
              </w:rPr>
              <w:t>（9）web防火墙:可防护SQL注入、命令注入、跨站脚本、跨站请求伪造、信息探测等攻击；</w:t>
            </w:r>
          </w:p>
          <w:p>
            <w:pPr>
              <w:rPr>
                <w:rFonts w:ascii="宋体" w:hAnsi="宋体" w:cs="宋体"/>
                <w:kern w:val="0"/>
              </w:rPr>
            </w:pPr>
            <w:r>
              <w:rPr>
                <w:rFonts w:hint="eastAsia" w:ascii="宋体" w:hAnsi="宋体" w:cs="宋体"/>
                <w:kern w:val="0"/>
              </w:rPr>
              <w:t>（10）WebShell防护:可防止黑客上传、访问WebShell（网站后门）；</w:t>
            </w:r>
          </w:p>
          <w:p>
            <w:pPr>
              <w:rPr>
                <w:rFonts w:ascii="宋体" w:hAnsi="宋体" w:cs="宋体"/>
                <w:kern w:val="0"/>
              </w:rPr>
            </w:pPr>
            <w:r>
              <w:rPr>
                <w:rFonts w:hint="eastAsia" w:ascii="宋体" w:hAnsi="宋体" w:cs="宋体"/>
                <w:kern w:val="0"/>
              </w:rPr>
              <w:t>（11）CC攻击防护扩展能力:提供CC类型拒绝服务攻击防护可扩展能力，以消耗服务器各类资源如CPU、内存、后端数据库的防护能力；提供CC攻击识别方法和设备的发明专利证书；</w:t>
            </w:r>
          </w:p>
          <w:p>
            <w:pPr>
              <w:rPr>
                <w:rFonts w:ascii="宋体" w:hAnsi="宋体" w:cs="宋体"/>
                <w:kern w:val="0"/>
              </w:rPr>
            </w:pPr>
            <w:r>
              <w:rPr>
                <w:rFonts w:hint="eastAsia" w:ascii="宋体" w:hAnsi="宋体" w:cs="宋体"/>
                <w:kern w:val="0"/>
              </w:rPr>
              <w:t>（12）DDOS防护扩展能力:提供可扩展流量型DDOS攻击与CC攻击的防御能力，提供界面截图证明；</w:t>
            </w:r>
          </w:p>
          <w:p>
            <w:pPr>
              <w:rPr>
                <w:rFonts w:ascii="宋体" w:hAnsi="宋体" w:cs="宋体"/>
                <w:kern w:val="0"/>
              </w:rPr>
            </w:pPr>
            <w:r>
              <w:rPr>
                <w:rFonts w:hint="eastAsia" w:ascii="宋体" w:hAnsi="宋体" w:cs="宋体"/>
                <w:kern w:val="0"/>
              </w:rPr>
              <w:t>（13）CDN安全加速扩展能力:提供可扩展CDN能力，包括缓存、页面压缩、协议优化、链接优化等，提供界面截图证明；</w:t>
            </w:r>
          </w:p>
          <w:p>
            <w:pPr>
              <w:rPr>
                <w:rFonts w:ascii="宋体" w:hAnsi="宋体" w:cs="宋体"/>
                <w:kern w:val="0"/>
              </w:rPr>
            </w:pPr>
            <w:r>
              <w:rPr>
                <w:rFonts w:hint="eastAsia" w:ascii="宋体" w:hAnsi="宋体" w:cs="宋体"/>
                <w:kern w:val="0"/>
              </w:rPr>
              <w:t>（14）内容安全扩展能力:提供可扩展敏感内容识别与拦截能力，将敏感文字、关键字等涉敏信息对互联网展示进行替换。</w:t>
            </w:r>
          </w:p>
          <w:p>
            <w:pPr>
              <w:rPr>
                <w:rFonts w:ascii="宋体" w:hAnsi="宋体" w:cs="宋体"/>
                <w:kern w:val="0"/>
              </w:rPr>
            </w:pPr>
            <w:r>
              <w:rPr>
                <w:rFonts w:hint="eastAsia" w:ascii="宋体" w:hAnsi="宋体" w:cs="宋体"/>
                <w:kern w:val="0"/>
              </w:rPr>
              <w:t>（15）URL与目录访问控制:可以禁止非授权IP访问网站后台管理地址或重要页面；</w:t>
            </w:r>
          </w:p>
          <w:p>
            <w:pPr>
              <w:rPr>
                <w:rFonts w:ascii="宋体" w:hAnsi="宋体" w:cs="宋体"/>
                <w:kern w:val="0"/>
              </w:rPr>
            </w:pPr>
            <w:r>
              <w:rPr>
                <w:rFonts w:hint="eastAsia" w:ascii="宋体" w:hAnsi="宋体" w:cs="宋体"/>
                <w:kern w:val="0"/>
              </w:rPr>
              <w:t>（16）防盗用:保护网站图片、压缩包等资源文件不被其它站点盗用；</w:t>
            </w:r>
          </w:p>
          <w:p>
            <w:pPr>
              <w:rPr>
                <w:rFonts w:ascii="宋体" w:hAnsi="宋体" w:cs="宋体"/>
                <w:kern w:val="0"/>
              </w:rPr>
            </w:pPr>
            <w:r>
              <w:rPr>
                <w:rFonts w:hint="eastAsia" w:ascii="宋体" w:hAnsi="宋体" w:cs="宋体"/>
                <w:kern w:val="0"/>
              </w:rPr>
              <w:t>（17）URL白名单:可以对特定的URL添加白名单，如接口URL、安全信任URL，至少能够添加50条以上URL；</w:t>
            </w:r>
          </w:p>
          <w:p>
            <w:pPr>
              <w:rPr>
                <w:rFonts w:ascii="宋体" w:hAnsi="宋体" w:cs="宋体"/>
                <w:kern w:val="0"/>
              </w:rPr>
            </w:pPr>
            <w:r>
              <w:rPr>
                <w:rFonts w:hint="eastAsia" w:ascii="宋体" w:hAnsi="宋体" w:cs="宋体"/>
                <w:kern w:val="0"/>
              </w:rPr>
              <w:t>（18）IP地址访问控制:可设置不进行防护的IP地址（IP白名单）、不允许访问的IP地址（IP黑名单），各50条以上；</w:t>
            </w:r>
          </w:p>
          <w:p>
            <w:pPr>
              <w:rPr>
                <w:rFonts w:ascii="宋体" w:hAnsi="宋体" w:cs="宋体"/>
                <w:kern w:val="0"/>
              </w:rPr>
            </w:pPr>
            <w:r>
              <w:rPr>
                <w:rFonts w:hint="eastAsia" w:ascii="宋体" w:hAnsi="宋体" w:cs="宋体"/>
                <w:kern w:val="0"/>
              </w:rPr>
              <w:t>（19）端口适应:支持网站非标准端口（80,443以外端口），自助设置协议和端口，提供管理平台自助设置界面截图；</w:t>
            </w:r>
          </w:p>
          <w:p>
            <w:pPr>
              <w:rPr>
                <w:rFonts w:ascii="宋体" w:hAnsi="宋体" w:cs="宋体"/>
                <w:kern w:val="0"/>
              </w:rPr>
            </w:pPr>
            <w:r>
              <w:rPr>
                <w:rFonts w:hint="eastAsia" w:ascii="宋体" w:hAnsi="宋体" w:cs="宋体"/>
                <w:kern w:val="0"/>
              </w:rPr>
              <w:t>（20）SSL节点支持:对于https类型网站，用户能够自助上传SSL证书到防护平台。（提供管理平台自助上传SSL证书截图证明）；</w:t>
            </w:r>
          </w:p>
          <w:p>
            <w:pPr>
              <w:rPr>
                <w:rFonts w:ascii="宋体" w:hAnsi="宋体" w:cs="宋体"/>
                <w:kern w:val="0"/>
              </w:rPr>
            </w:pPr>
            <w:r>
              <w:rPr>
                <w:rFonts w:hint="eastAsia" w:ascii="宋体" w:hAnsi="宋体" w:cs="宋体"/>
                <w:kern w:val="0"/>
              </w:rPr>
              <w:t>（21）IPV6可扩展能力:无需部署任何软硬件，可扩展支持IPV6与IPV4的转换与防御，将IPV4的WEB系统转换成互联网可解析的IPV6地址与可访问的IPV6 WEB系统；提供截图证明</w:t>
            </w:r>
          </w:p>
          <w:p>
            <w:pPr>
              <w:rPr>
                <w:rFonts w:ascii="宋体" w:hAnsi="宋体" w:cs="宋体"/>
                <w:kern w:val="0"/>
              </w:rPr>
            </w:pPr>
            <w:r>
              <w:rPr>
                <w:rFonts w:hint="eastAsia" w:ascii="宋体" w:hAnsi="宋体" w:cs="宋体"/>
                <w:kern w:val="0"/>
              </w:rPr>
              <w:t>（22）网站访问可视化:提供网站访问情况信息展示，包括请求数、总流量、网站浏览人数，搜索引擎引导量，遭受攻击次数等，并能按时间端统计的网站访问量；</w:t>
            </w:r>
          </w:p>
          <w:p>
            <w:pPr>
              <w:rPr>
                <w:rFonts w:ascii="宋体" w:hAnsi="宋体" w:cs="宋体"/>
                <w:kern w:val="0"/>
              </w:rPr>
            </w:pPr>
            <w:r>
              <w:rPr>
                <w:rFonts w:hint="eastAsia" w:ascii="宋体" w:hAnsi="宋体" w:cs="宋体"/>
                <w:kern w:val="0"/>
              </w:rPr>
              <w:t>（23）受攻击可视化:查看网站安全状况，包括各种攻击发生次数，攻击IP、来源（国家）等；可显示对网站的安全评级，如安全、危险等等，可显示历史攻击次数等；可显示CC攻击详细情况；可显示攻击者的扫描情况，包括时间、攻击URL，攻击者IP及归属地，攻击类型等；</w:t>
            </w:r>
          </w:p>
          <w:p>
            <w:pPr>
              <w:rPr>
                <w:rFonts w:ascii="宋体" w:hAnsi="宋体" w:cs="宋体"/>
                <w:kern w:val="0"/>
              </w:rPr>
            </w:pPr>
            <w:r>
              <w:rPr>
                <w:rFonts w:hint="eastAsia" w:ascii="宋体" w:hAnsi="宋体" w:cs="宋体"/>
                <w:kern w:val="0"/>
              </w:rPr>
              <w:t>（24）地图攻击可视化:提供实时攻击视图，在视图中实时显示攻击源IP，国家，目标域名，目标所在地等。（提供管理平台全球地图实时动态防御截图证明）；</w:t>
            </w:r>
          </w:p>
          <w:p>
            <w:pPr>
              <w:rPr>
                <w:rFonts w:ascii="宋体" w:hAnsi="宋体" w:cs="宋体"/>
                <w:kern w:val="0"/>
              </w:rPr>
            </w:pPr>
            <w:r>
              <w:rPr>
                <w:rFonts w:hint="eastAsia" w:ascii="宋体" w:hAnsi="宋体" w:cs="宋体"/>
                <w:kern w:val="0"/>
              </w:rPr>
              <w:t>（25）报表:支持当日、前一天、最近30天和最近一年的报表统计下载；</w:t>
            </w:r>
          </w:p>
          <w:p>
            <w:pPr>
              <w:rPr>
                <w:rFonts w:ascii="宋体" w:hAnsi="宋体" w:cs="宋体"/>
                <w:kern w:val="0"/>
              </w:rPr>
            </w:pPr>
            <w:r>
              <w:rPr>
                <w:rFonts w:hint="eastAsia" w:ascii="宋体" w:hAnsi="宋体" w:cs="宋体"/>
                <w:kern w:val="0"/>
              </w:rPr>
              <w:t>（26）日志:提供最近7天内的攻击和访问日志自助下载服务；</w:t>
            </w:r>
          </w:p>
          <w:p>
            <w:pPr>
              <w:rPr>
                <w:rFonts w:ascii="宋体" w:hAnsi="宋体" w:cs="宋体"/>
                <w:kern w:val="0"/>
              </w:rPr>
            </w:pPr>
            <w:r>
              <w:rPr>
                <w:rFonts w:hint="eastAsia" w:ascii="宋体" w:hAnsi="宋体" w:cs="宋体"/>
                <w:kern w:val="0"/>
              </w:rPr>
              <w:t>（27）案例证明:提供至少四个部委级或者国家级官方门户网站的防御证明，提供域名解析的截图证明。</w:t>
            </w:r>
          </w:p>
          <w:p>
            <w:pPr>
              <w:rPr>
                <w:rFonts w:ascii="宋体" w:hAnsi="宋体" w:cs="宋体"/>
                <w:kern w:val="0"/>
              </w:rPr>
            </w:pPr>
            <w:r>
              <w:rPr>
                <w:rFonts w:hint="eastAsia" w:ascii="宋体" w:hAnsi="宋体" w:cs="宋体"/>
                <w:kern w:val="0"/>
              </w:rPr>
              <w:t>（28）工具证书:</w:t>
            </w:r>
          </w:p>
          <w:p>
            <w:pPr>
              <w:pStyle w:val="22"/>
              <w:numPr>
                <w:ilvl w:val="0"/>
                <w:numId w:val="7"/>
              </w:numPr>
              <w:ind w:firstLineChars="0"/>
              <w:rPr>
                <w:rFonts w:ascii="宋体" w:hAnsi="宋体" w:cs="宋体"/>
                <w:kern w:val="0"/>
              </w:rPr>
            </w:pPr>
            <w:r>
              <w:rPr>
                <w:rFonts w:hint="eastAsia" w:ascii="宋体" w:hAnsi="宋体" w:cs="宋体"/>
                <w:kern w:val="0"/>
              </w:rPr>
              <w:t>公安部销售许可证，是云防御类；提供销售许可证证明；</w:t>
            </w:r>
          </w:p>
          <w:p>
            <w:pPr>
              <w:pStyle w:val="22"/>
              <w:numPr>
                <w:ilvl w:val="0"/>
                <w:numId w:val="7"/>
              </w:numPr>
              <w:ind w:firstLineChars="0"/>
              <w:rPr>
                <w:rFonts w:ascii="宋体" w:hAnsi="宋体" w:cs="宋体"/>
                <w:kern w:val="0"/>
              </w:rPr>
            </w:pPr>
            <w:r>
              <w:rPr>
                <w:rFonts w:hint="eastAsia" w:ascii="宋体" w:hAnsi="宋体" w:cs="宋体"/>
                <w:kern w:val="0"/>
              </w:rPr>
              <w:t>信息系统安全等级保护备案证明，是三级或以上的云防御类系统；提供公安机关备案证明；</w:t>
            </w:r>
          </w:p>
          <w:p>
            <w:pPr>
              <w:pStyle w:val="22"/>
              <w:numPr>
                <w:ilvl w:val="0"/>
                <w:numId w:val="7"/>
              </w:numPr>
              <w:ind w:firstLineChars="0"/>
              <w:rPr>
                <w:rFonts w:ascii="宋体" w:hAnsi="宋体" w:cs="宋体"/>
                <w:kern w:val="0"/>
              </w:rPr>
            </w:pPr>
            <w:r>
              <w:rPr>
                <w:rFonts w:hint="eastAsia" w:ascii="宋体" w:hAnsi="宋体" w:cs="宋体"/>
                <w:kern w:val="0"/>
              </w:rPr>
              <w:t>增值电信业务经营许可证：全国内容分发网络业务</w:t>
            </w:r>
          </w:p>
          <w:p>
            <w:pPr>
              <w:pStyle w:val="22"/>
              <w:numPr>
                <w:ilvl w:val="0"/>
                <w:numId w:val="7"/>
              </w:numPr>
              <w:ind w:firstLineChars="0"/>
              <w:rPr>
                <w:rFonts w:ascii="宋体" w:hAnsi="宋体" w:cs="宋体"/>
                <w:kern w:val="0"/>
              </w:rPr>
            </w:pPr>
            <w:r>
              <w:rPr>
                <w:rFonts w:hint="eastAsia" w:ascii="宋体" w:hAnsi="宋体" w:cs="宋体"/>
                <w:kern w:val="0"/>
              </w:rPr>
              <w:t>可信云：云分发服务；</w:t>
            </w:r>
          </w:p>
          <w:p>
            <w:pPr>
              <w:pStyle w:val="22"/>
              <w:numPr>
                <w:ilvl w:val="0"/>
                <w:numId w:val="7"/>
              </w:numPr>
              <w:ind w:firstLineChars="0"/>
              <w:rPr>
                <w:rFonts w:ascii="宋体" w:hAnsi="宋体" w:cs="宋体"/>
                <w:kern w:val="0"/>
              </w:rPr>
            </w:pPr>
            <w:r>
              <w:rPr>
                <w:rFonts w:hint="eastAsia" w:ascii="宋体" w:hAnsi="宋体" w:cs="宋体"/>
                <w:kern w:val="0"/>
              </w:rPr>
              <w:t>公安部云计算产品信息安全认证证书，是云防御类产品；</w:t>
            </w:r>
          </w:p>
          <w:p>
            <w:pPr>
              <w:pStyle w:val="22"/>
              <w:numPr>
                <w:ilvl w:val="0"/>
                <w:numId w:val="7"/>
              </w:numPr>
              <w:ind w:firstLineChars="0"/>
              <w:rPr>
                <w:rFonts w:ascii="宋体" w:hAnsi="宋体" w:cs="宋体"/>
                <w:kern w:val="0"/>
              </w:rPr>
            </w:pPr>
            <w:r>
              <w:rPr>
                <w:rFonts w:hint="eastAsia" w:ascii="宋体" w:hAnsi="宋体" w:cs="宋体"/>
                <w:kern w:val="0"/>
              </w:rPr>
              <w:t>CSA云安全联盟证书。</w:t>
            </w:r>
          </w:p>
          <w:p>
            <w:pPr>
              <w:rPr>
                <w:rFonts w:ascii="宋体" w:hAnsi="宋体" w:cs="宋体"/>
                <w:kern w:val="0"/>
              </w:rPr>
            </w:pPr>
            <w:r>
              <w:rPr>
                <w:rFonts w:hint="eastAsia" w:ascii="宋体" w:hAnsi="宋体" w:cs="宋体"/>
                <w:kern w:val="0"/>
              </w:rPr>
              <w:t>（29）工具厂商资质:</w:t>
            </w:r>
          </w:p>
          <w:p>
            <w:pPr>
              <w:pStyle w:val="22"/>
              <w:numPr>
                <w:ilvl w:val="0"/>
                <w:numId w:val="8"/>
              </w:numPr>
              <w:ind w:firstLineChars="0"/>
              <w:rPr>
                <w:rFonts w:ascii="宋体" w:hAnsi="宋体" w:cs="宋体"/>
                <w:kern w:val="0"/>
              </w:rPr>
            </w:pPr>
            <w:r>
              <w:rPr>
                <w:rFonts w:hint="eastAsia" w:ascii="宋体" w:hAnsi="宋体" w:cs="宋体"/>
                <w:kern w:val="0"/>
              </w:rPr>
              <w:t>国家信息安全测评中心的信息安全服务资质证书（安全工程类）；</w:t>
            </w:r>
          </w:p>
          <w:p>
            <w:pPr>
              <w:pStyle w:val="22"/>
              <w:numPr>
                <w:ilvl w:val="0"/>
                <w:numId w:val="8"/>
              </w:numPr>
              <w:ind w:firstLineChars="0"/>
              <w:rPr>
                <w:rFonts w:ascii="宋体" w:hAnsi="宋体" w:cs="宋体"/>
                <w:kern w:val="0"/>
              </w:rPr>
            </w:pPr>
            <w:r>
              <w:rPr>
                <w:rFonts w:hint="eastAsia" w:ascii="宋体" w:hAnsi="宋体" w:cs="宋体"/>
                <w:kern w:val="0"/>
              </w:rPr>
              <w:t>国家信息安全测评中心的信息安全服务资质证书（风险评估）；</w:t>
            </w:r>
          </w:p>
          <w:p>
            <w:pPr>
              <w:pStyle w:val="22"/>
              <w:numPr>
                <w:ilvl w:val="0"/>
                <w:numId w:val="8"/>
              </w:numPr>
              <w:ind w:firstLineChars="0"/>
              <w:rPr>
                <w:rFonts w:ascii="宋体" w:hAnsi="宋体" w:cs="宋体"/>
                <w:kern w:val="0"/>
              </w:rPr>
            </w:pPr>
            <w:r>
              <w:rPr>
                <w:rFonts w:hint="eastAsia" w:ascii="宋体" w:hAnsi="宋体" w:cs="宋体"/>
                <w:kern w:val="0"/>
              </w:rPr>
              <w:t>中国网络安全审查技术与认证中心的信息安全服务资质（应急处理）；</w:t>
            </w:r>
          </w:p>
          <w:p>
            <w:pPr>
              <w:pStyle w:val="22"/>
              <w:numPr>
                <w:ilvl w:val="0"/>
                <w:numId w:val="8"/>
              </w:numPr>
              <w:ind w:firstLineChars="0"/>
              <w:rPr>
                <w:rFonts w:ascii="宋体" w:hAnsi="宋体" w:cs="宋体"/>
                <w:kern w:val="0"/>
              </w:rPr>
            </w:pPr>
            <w:r>
              <w:rPr>
                <w:rFonts w:hint="eastAsia" w:ascii="宋体" w:hAnsi="宋体" w:cs="宋体"/>
                <w:kern w:val="0"/>
              </w:rPr>
              <w:t>中国网络安全审查技术与认证中心的信息安全服务资质（安全集成）；</w:t>
            </w:r>
          </w:p>
          <w:p>
            <w:pPr>
              <w:pStyle w:val="22"/>
              <w:numPr>
                <w:ilvl w:val="0"/>
                <w:numId w:val="8"/>
              </w:numPr>
              <w:ind w:firstLineChars="0"/>
              <w:rPr>
                <w:rFonts w:ascii="宋体" w:hAnsi="宋体" w:cs="宋体"/>
                <w:kern w:val="0"/>
              </w:rPr>
            </w:pPr>
            <w:r>
              <w:rPr>
                <w:rFonts w:hint="eastAsia" w:ascii="宋体" w:hAnsi="宋体" w:cs="宋体"/>
                <w:kern w:val="0"/>
              </w:rPr>
              <w:t>中国网络安全审查技术与认证中心的信息安全服务资质（安全运维）；</w:t>
            </w:r>
          </w:p>
          <w:p>
            <w:pPr>
              <w:pStyle w:val="22"/>
              <w:numPr>
                <w:ilvl w:val="0"/>
                <w:numId w:val="8"/>
              </w:numPr>
              <w:ind w:firstLineChars="0"/>
              <w:rPr>
                <w:rFonts w:ascii="宋体" w:hAnsi="宋体" w:cs="宋体"/>
                <w:kern w:val="0"/>
              </w:rPr>
            </w:pPr>
            <w:r>
              <w:rPr>
                <w:rFonts w:hint="eastAsia" w:ascii="宋体" w:hAnsi="宋体" w:cs="宋体"/>
                <w:kern w:val="0"/>
              </w:rPr>
              <w:t>ISO/IEC 20000标准的信息技术服务管理体系认证；</w:t>
            </w:r>
          </w:p>
          <w:p>
            <w:pPr>
              <w:pStyle w:val="22"/>
              <w:numPr>
                <w:ilvl w:val="0"/>
                <w:numId w:val="8"/>
              </w:numPr>
              <w:ind w:firstLineChars="0"/>
              <w:rPr>
                <w:rFonts w:ascii="宋体" w:hAnsi="宋体" w:cs="宋体"/>
                <w:kern w:val="0"/>
              </w:rPr>
            </w:pPr>
            <w:r>
              <w:rPr>
                <w:rFonts w:hint="eastAsia" w:ascii="宋体" w:hAnsi="宋体" w:cs="宋体"/>
                <w:kern w:val="0"/>
              </w:rPr>
              <w:t>ISO/IEC27001标准的信息安全管理体系认证；</w:t>
            </w:r>
          </w:p>
          <w:p>
            <w:pPr>
              <w:pStyle w:val="22"/>
              <w:numPr>
                <w:ilvl w:val="0"/>
                <w:numId w:val="8"/>
              </w:numPr>
              <w:ind w:firstLineChars="0"/>
              <w:rPr>
                <w:rFonts w:ascii="宋体" w:hAnsi="宋体" w:cs="宋体"/>
                <w:kern w:val="0"/>
              </w:rPr>
            </w:pPr>
            <w:r>
              <w:rPr>
                <w:rFonts w:hint="eastAsia" w:ascii="宋体" w:hAnsi="宋体" w:cs="宋体"/>
                <w:kern w:val="0"/>
              </w:rPr>
              <w:t>ISO 14001标准的环境管理体系认证（覆盖计算机软件相关环境管理）；</w:t>
            </w:r>
          </w:p>
          <w:p>
            <w:pPr>
              <w:pStyle w:val="22"/>
              <w:numPr>
                <w:ilvl w:val="0"/>
                <w:numId w:val="8"/>
              </w:numPr>
              <w:ind w:firstLineChars="0"/>
              <w:rPr>
                <w:rFonts w:ascii="宋体" w:hAnsi="宋体" w:cs="宋体"/>
                <w:kern w:val="0"/>
              </w:rPr>
            </w:pPr>
            <w:r>
              <w:rPr>
                <w:rFonts w:hint="eastAsia" w:ascii="宋体" w:hAnsi="宋体" w:cs="宋体"/>
                <w:kern w:val="0"/>
              </w:rPr>
              <w:t>ISO 9001标准的质量管理体系认证(覆盖计算机软件相关质量）；</w:t>
            </w:r>
          </w:p>
        </w:tc>
        <w:tc>
          <w:tcPr>
            <w:tcW w:w="850" w:type="dxa"/>
            <w:shd w:val="clear" w:color="auto" w:fill="auto"/>
            <w:vAlign w:val="center"/>
          </w:tcPr>
          <w:p>
            <w:pPr>
              <w:jc w:val="center"/>
              <w:rPr>
                <w:rFonts w:ascii="宋体" w:hAnsi="宋体" w:cs="宋体"/>
                <w:kern w:val="0"/>
              </w:rPr>
            </w:pPr>
            <w:r>
              <w:rPr>
                <w:rFonts w:hint="eastAsia" w:ascii="宋体" w:hAnsi="宋体" w:cs="宋体"/>
                <w:kern w:val="0"/>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jc w:val="center"/>
        </w:trPr>
        <w:tc>
          <w:tcPr>
            <w:tcW w:w="708" w:type="dxa"/>
            <w:shd w:val="clear" w:color="auto" w:fill="auto"/>
            <w:noWrap/>
            <w:vAlign w:val="center"/>
          </w:tcPr>
          <w:p>
            <w:pPr>
              <w:jc w:val="center"/>
              <w:rPr>
                <w:rFonts w:ascii="宋体" w:hAnsi="宋体" w:cs="宋体"/>
                <w:kern w:val="0"/>
              </w:rPr>
            </w:pPr>
            <w:r>
              <w:rPr>
                <w:rFonts w:hint="eastAsia" w:ascii="宋体" w:hAnsi="宋体" w:cs="宋体"/>
                <w:kern w:val="0"/>
              </w:rPr>
              <w:t>4</w:t>
            </w:r>
          </w:p>
        </w:tc>
        <w:tc>
          <w:tcPr>
            <w:tcW w:w="1414" w:type="dxa"/>
            <w:shd w:val="clear" w:color="auto" w:fill="auto"/>
            <w:vAlign w:val="center"/>
          </w:tcPr>
          <w:p>
            <w:pPr>
              <w:jc w:val="center"/>
              <w:rPr>
                <w:rFonts w:ascii="宋体" w:hAnsi="宋体" w:cs="宋体"/>
                <w:kern w:val="0"/>
              </w:rPr>
            </w:pPr>
            <w:r>
              <w:rPr>
                <w:rFonts w:hint="eastAsia" w:ascii="宋体" w:hAnsi="宋体" w:cs="宋体"/>
                <w:kern w:val="0"/>
              </w:rPr>
              <w:t>安全设备续保服务</w:t>
            </w:r>
          </w:p>
        </w:tc>
        <w:tc>
          <w:tcPr>
            <w:tcW w:w="6100" w:type="dxa"/>
            <w:shd w:val="clear" w:color="auto" w:fill="auto"/>
            <w:vAlign w:val="center"/>
          </w:tcPr>
          <w:p>
            <w:pPr>
              <w:rPr>
                <w:rFonts w:ascii="宋体" w:hAnsi="宋体" w:cs="宋体"/>
                <w:kern w:val="0"/>
              </w:rPr>
            </w:pPr>
            <w:r>
              <w:rPr>
                <w:rFonts w:hint="eastAsia" w:ascii="宋体" w:hAnsi="宋体" w:cs="宋体"/>
                <w:kern w:val="0"/>
              </w:rPr>
              <w:t>1、深信服防火墙设备×1，安恒入侵防御设备×1，安恒web应用防火墙设备×1，安恒APT系统平台×1；</w:t>
            </w:r>
          </w:p>
          <w:p>
            <w:pPr>
              <w:rPr>
                <w:rFonts w:ascii="宋体" w:hAnsi="宋体" w:cs="宋体"/>
                <w:kern w:val="0"/>
              </w:rPr>
            </w:pPr>
            <w:r>
              <w:rPr>
                <w:rFonts w:hint="eastAsia" w:ascii="宋体" w:hAnsi="宋体" w:cs="宋体"/>
                <w:kern w:val="0"/>
              </w:rPr>
              <w:t>2、提供1年续保服务；</w:t>
            </w:r>
          </w:p>
          <w:p>
            <w:pPr>
              <w:rPr>
                <w:rFonts w:ascii="宋体" w:hAnsi="宋体" w:cs="宋体"/>
                <w:kern w:val="0"/>
              </w:rPr>
            </w:pPr>
            <w:r>
              <w:rPr>
                <w:rFonts w:hint="eastAsia" w:ascii="宋体" w:hAnsi="宋体" w:cs="宋体"/>
                <w:kern w:val="0"/>
              </w:rPr>
              <w:t>3、原厂规则库升级，软件版本升级；</w:t>
            </w:r>
          </w:p>
          <w:p>
            <w:pPr>
              <w:rPr>
                <w:rFonts w:ascii="宋体" w:hAnsi="宋体" w:cs="宋体"/>
                <w:kern w:val="0"/>
              </w:rPr>
            </w:pPr>
            <w:r>
              <w:rPr>
                <w:rFonts w:hint="eastAsia" w:ascii="宋体" w:hAnsi="宋体" w:cs="宋体"/>
                <w:kern w:val="0"/>
              </w:rPr>
              <w:t>4、月度巡检，7×24小时设备故障上门，设备故障质保。</w:t>
            </w:r>
          </w:p>
        </w:tc>
        <w:tc>
          <w:tcPr>
            <w:tcW w:w="850" w:type="dxa"/>
            <w:shd w:val="clear" w:color="auto" w:fill="auto"/>
            <w:vAlign w:val="center"/>
          </w:tcPr>
          <w:p>
            <w:pPr>
              <w:jc w:val="center"/>
              <w:rPr>
                <w:rFonts w:ascii="宋体" w:hAnsi="宋体" w:cs="宋体"/>
                <w:kern w:val="0"/>
              </w:rPr>
            </w:pPr>
            <w:r>
              <w:rPr>
                <w:rFonts w:hint="eastAsia" w:ascii="宋体" w:hAnsi="宋体" w:cs="宋体"/>
                <w:kern w:val="0"/>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9072" w:type="dxa"/>
            <w:gridSpan w:val="4"/>
            <w:shd w:val="clear" w:color="auto" w:fill="auto"/>
            <w:noWrap/>
            <w:vAlign w:val="center"/>
          </w:tcPr>
          <w:p>
            <w:pPr>
              <w:rPr>
                <w:rFonts w:ascii="宋体" w:hAnsi="宋体" w:cs="宋体"/>
                <w:kern w:val="0"/>
              </w:rPr>
            </w:pPr>
            <w:r>
              <w:rPr>
                <w:rFonts w:hint="eastAsia" w:ascii="宋体" w:hAnsi="宋体" w:cs="宋体"/>
                <w:kern w:val="0"/>
              </w:rPr>
              <w:t>备注</w:t>
            </w:r>
            <w:r>
              <w:rPr>
                <w:rFonts w:ascii="宋体" w:hAnsi="宋体" w:cs="宋体"/>
                <w:kern w:val="0"/>
              </w:rPr>
              <w:t>：</w:t>
            </w:r>
            <w:r>
              <w:rPr>
                <w:rFonts w:hint="eastAsia" w:ascii="宋体" w:hAnsi="宋体"/>
              </w:rPr>
              <w:t>带</w:t>
            </w:r>
            <w:r>
              <w:rPr>
                <w:rFonts w:ascii="宋体" w:hAnsi="宋体"/>
              </w:rPr>
              <w:t>“</w:t>
            </w:r>
            <w:r>
              <w:rPr>
                <w:rFonts w:hint="eastAsia" w:ascii="宋体" w:hAnsi="宋体" w:cs="宋体"/>
                <w:color w:val="000000"/>
              </w:rPr>
              <w:t>▲</w:t>
            </w:r>
            <w:r>
              <w:rPr>
                <w:rFonts w:ascii="宋体" w:hAnsi="宋体"/>
              </w:rPr>
              <w:t>”</w:t>
            </w:r>
            <w:r>
              <w:rPr>
                <w:rFonts w:hint="eastAsia" w:ascii="宋体" w:hAnsi="宋体"/>
              </w:rPr>
              <w:t>的</w:t>
            </w:r>
            <w:r>
              <w:rPr>
                <w:rFonts w:ascii="宋体" w:hAnsi="宋体"/>
              </w:rPr>
              <w:t>技术参数须全部满足。</w:t>
            </w:r>
          </w:p>
        </w:tc>
      </w:tr>
    </w:tbl>
    <w:p>
      <w:pPr>
        <w:pStyle w:val="2"/>
        <w:rPr>
          <w:highlight w:val="yellow"/>
        </w:rPr>
      </w:pPr>
    </w:p>
    <w:p>
      <w:pPr>
        <w:pStyle w:val="4"/>
        <w:numPr>
          <w:ilvl w:val="1"/>
          <w:numId w:val="6"/>
        </w:numPr>
        <w:spacing w:before="0" w:after="0"/>
        <w:rPr>
          <w:rFonts w:ascii="宋体" w:hAnsi="宋体" w:eastAsia="宋体"/>
          <w:bCs/>
          <w:sz w:val="24"/>
          <w:szCs w:val="24"/>
        </w:rPr>
      </w:pPr>
      <w:r>
        <w:rPr>
          <w:rFonts w:hint="eastAsia" w:ascii="宋体" w:hAnsi="宋体" w:eastAsia="宋体"/>
          <w:bCs/>
          <w:sz w:val="24"/>
          <w:szCs w:val="24"/>
        </w:rPr>
        <w:t>商务要求</w:t>
      </w:r>
    </w:p>
    <w:p>
      <w:pPr>
        <w:pStyle w:val="22"/>
        <w:numPr>
          <w:ilvl w:val="0"/>
          <w:numId w:val="9"/>
        </w:numPr>
        <w:ind w:firstLineChars="0"/>
        <w:rPr>
          <w:rFonts w:ascii="宋体" w:hAnsi="宋体"/>
          <w:b/>
          <w:color w:val="000000"/>
        </w:rPr>
      </w:pPr>
      <w:r>
        <w:rPr>
          <w:rFonts w:hint="eastAsia" w:ascii="宋体" w:hAnsi="宋体" w:cs="宋体"/>
          <w:b/>
        </w:rPr>
        <w:t>优先服务商</w:t>
      </w:r>
    </w:p>
    <w:p>
      <w:pPr>
        <w:pStyle w:val="22"/>
        <w:numPr>
          <w:ilvl w:val="0"/>
          <w:numId w:val="10"/>
        </w:numPr>
        <w:ind w:firstLineChars="0"/>
        <w:rPr>
          <w:rFonts w:ascii="宋体" w:hAnsi="宋体" w:cs="Arial"/>
          <w:kern w:val="11"/>
        </w:rPr>
      </w:pPr>
      <w:r>
        <w:rPr>
          <w:rFonts w:hint="eastAsia" w:ascii="宋体" w:hAnsi="宋体" w:cs="Arial"/>
          <w:kern w:val="11"/>
        </w:rPr>
        <w:t>具有计算机信息系统安全相关资质证书。</w:t>
      </w:r>
    </w:p>
    <w:p>
      <w:pPr>
        <w:pStyle w:val="22"/>
        <w:numPr>
          <w:ilvl w:val="0"/>
          <w:numId w:val="10"/>
        </w:numPr>
        <w:ind w:firstLineChars="0"/>
        <w:rPr>
          <w:rFonts w:ascii="宋体" w:hAnsi="宋体" w:cs="Arial"/>
          <w:kern w:val="11"/>
        </w:rPr>
      </w:pPr>
      <w:r>
        <w:rPr>
          <w:rFonts w:hint="eastAsia" w:ascii="宋体" w:hAnsi="宋体" w:cs="Arial"/>
          <w:kern w:val="11"/>
        </w:rPr>
        <w:t>具有云计算安全平台相关认证证书。</w:t>
      </w:r>
    </w:p>
    <w:p>
      <w:pPr>
        <w:pStyle w:val="22"/>
        <w:numPr>
          <w:ilvl w:val="0"/>
          <w:numId w:val="10"/>
        </w:numPr>
        <w:ind w:firstLineChars="0"/>
        <w:rPr>
          <w:rFonts w:ascii="宋体" w:hAnsi="宋体" w:cs="Arial"/>
          <w:kern w:val="11"/>
        </w:rPr>
      </w:pPr>
      <w:r>
        <w:rPr>
          <w:rFonts w:hint="eastAsia" w:ascii="宋体" w:hAnsi="宋体" w:cs="Arial"/>
          <w:kern w:val="11"/>
        </w:rPr>
        <w:t>具有信息安全相关资质证书的工程师。</w:t>
      </w:r>
    </w:p>
    <w:p>
      <w:pPr>
        <w:pStyle w:val="22"/>
        <w:numPr>
          <w:ilvl w:val="0"/>
          <w:numId w:val="10"/>
        </w:numPr>
        <w:ind w:firstLineChars="0"/>
        <w:rPr>
          <w:rFonts w:ascii="宋体" w:hAnsi="宋体" w:cs="Arial"/>
          <w:kern w:val="11"/>
        </w:rPr>
      </w:pPr>
      <w:r>
        <w:rPr>
          <w:rFonts w:hint="eastAsia" w:ascii="宋体" w:hAnsi="宋体" w:cs="Arial"/>
          <w:kern w:val="11"/>
        </w:rPr>
        <w:t>有同类型网络安全服务项目案例（提供项目合同或验收（复印件）等材料）。</w:t>
      </w:r>
    </w:p>
    <w:p>
      <w:pPr>
        <w:pStyle w:val="22"/>
        <w:numPr>
          <w:ilvl w:val="0"/>
          <w:numId w:val="9"/>
        </w:numPr>
        <w:ind w:firstLineChars="0"/>
        <w:rPr>
          <w:rFonts w:ascii="宋体" w:hAnsi="宋体" w:cs="Arial"/>
          <w:b/>
          <w:kern w:val="11"/>
        </w:rPr>
      </w:pPr>
      <w:r>
        <w:rPr>
          <w:rFonts w:hint="eastAsia" w:ascii="宋体" w:hAnsi="宋体"/>
          <w:b/>
          <w:color w:val="000000"/>
        </w:rPr>
        <w:t>验收</w:t>
      </w:r>
    </w:p>
    <w:p>
      <w:pPr>
        <w:ind w:firstLine="480" w:firstLineChars="200"/>
        <w:rPr>
          <w:rFonts w:ascii="宋体" w:hAnsi="宋体" w:cs="Arial"/>
          <w:kern w:val="11"/>
        </w:rPr>
      </w:pPr>
      <w:r>
        <w:rPr>
          <w:rFonts w:hint="eastAsia" w:ascii="宋体" w:hAnsi="宋体" w:cs="Arial"/>
          <w:kern w:val="11"/>
        </w:rPr>
        <w:t>（1）验收标准：以国家标准、采购文件、投标文件和所签采购合同的相关条款为标准；</w:t>
      </w:r>
    </w:p>
    <w:p>
      <w:pPr>
        <w:ind w:firstLine="480" w:firstLineChars="200"/>
        <w:rPr>
          <w:rFonts w:ascii="宋体" w:hAnsi="宋体" w:cs="Arial"/>
          <w:kern w:val="11"/>
        </w:rPr>
      </w:pPr>
      <w:r>
        <w:rPr>
          <w:rFonts w:hint="eastAsia" w:ascii="宋体" w:hAnsi="宋体" w:cs="Arial"/>
          <w:kern w:val="11"/>
        </w:rPr>
        <w:t>（2）验收合格后由中标</w:t>
      </w:r>
      <w:r>
        <w:rPr>
          <w:rFonts w:hint="eastAsia" w:ascii="宋体" w:hAnsi="宋体" w:cs="宋体"/>
        </w:rPr>
        <w:t>服务商</w:t>
      </w:r>
      <w:r>
        <w:rPr>
          <w:rFonts w:hint="eastAsia" w:ascii="宋体" w:hAnsi="宋体" w:cs="Arial"/>
          <w:kern w:val="11"/>
        </w:rPr>
        <w:t>和采购人双方共同签字确认。</w:t>
      </w:r>
    </w:p>
    <w:p>
      <w:pPr>
        <w:pStyle w:val="22"/>
        <w:numPr>
          <w:ilvl w:val="0"/>
          <w:numId w:val="9"/>
        </w:numPr>
        <w:ind w:firstLineChars="0"/>
        <w:rPr>
          <w:rFonts w:ascii="宋体" w:hAnsi="宋体" w:cs="Arial"/>
          <w:b/>
          <w:kern w:val="11"/>
        </w:rPr>
      </w:pPr>
      <w:r>
        <w:rPr>
          <w:rFonts w:hint="eastAsia" w:ascii="宋体" w:hAnsi="宋体" w:cs="Arial"/>
          <w:b/>
          <w:kern w:val="11"/>
        </w:rPr>
        <w:t>结算</w:t>
      </w:r>
      <w:r>
        <w:rPr>
          <w:rFonts w:hint="eastAsia" w:ascii="宋体" w:hAnsi="宋体"/>
          <w:b/>
          <w:color w:val="000000"/>
        </w:rPr>
        <w:t>方式</w:t>
      </w:r>
    </w:p>
    <w:p>
      <w:pPr>
        <w:pStyle w:val="13"/>
        <w:spacing w:line="360" w:lineRule="auto"/>
        <w:ind w:firstLine="480" w:firstLineChars="200"/>
        <w:rPr>
          <w:rFonts w:hAnsi="宋体"/>
          <w:sz w:val="24"/>
        </w:rPr>
      </w:pPr>
      <w:r>
        <w:rPr>
          <w:rFonts w:hint="eastAsia" w:hAnsi="宋体"/>
          <w:sz w:val="24"/>
        </w:rPr>
        <w:t>付款方式：分期付款</w:t>
      </w:r>
    </w:p>
    <w:p>
      <w:pPr>
        <w:ind w:firstLine="480" w:firstLineChars="200"/>
        <w:rPr>
          <w:rFonts w:ascii="宋体" w:hAnsi="宋体"/>
          <w:color w:val="000000"/>
        </w:rPr>
      </w:pPr>
      <w:r>
        <w:rPr>
          <w:rFonts w:hint="eastAsia" w:ascii="宋体" w:hAnsi="宋体"/>
          <w:color w:val="000000"/>
        </w:rPr>
        <w:t>第一期款：采购合同签订并生效之日起的</w:t>
      </w:r>
      <w:r>
        <w:rPr>
          <w:rFonts w:hint="eastAsia" w:ascii="宋体" w:hAnsi="宋体"/>
          <w:color w:val="000000"/>
          <w:lang w:val="en-US" w:eastAsia="zh-CN"/>
        </w:rPr>
        <w:t>30</w:t>
      </w:r>
      <w:r>
        <w:rPr>
          <w:rFonts w:hint="eastAsia" w:ascii="宋体" w:hAnsi="宋体"/>
          <w:color w:val="000000"/>
        </w:rPr>
        <w:t>日内由采购人支付合同总金额</w:t>
      </w:r>
      <w:r>
        <w:rPr>
          <w:rFonts w:hint="eastAsia" w:ascii="宋体" w:hAnsi="宋体"/>
          <w:color w:val="000000"/>
          <w:lang w:val="en-US" w:eastAsia="zh-CN"/>
        </w:rPr>
        <w:t>50</w:t>
      </w:r>
      <w:r>
        <w:rPr>
          <w:rFonts w:hint="eastAsia" w:ascii="宋体" w:hAnsi="宋体"/>
          <w:color w:val="000000"/>
        </w:rPr>
        <w:t>%给中标</w:t>
      </w:r>
      <w:r>
        <w:rPr>
          <w:rFonts w:hint="eastAsia" w:ascii="宋体" w:hAnsi="宋体" w:cs="宋体"/>
        </w:rPr>
        <w:t>服务商</w:t>
      </w:r>
      <w:r>
        <w:rPr>
          <w:rFonts w:hint="eastAsia" w:ascii="宋体" w:hAnsi="宋体"/>
          <w:color w:val="000000"/>
        </w:rPr>
        <w:t>；</w:t>
      </w:r>
    </w:p>
    <w:p>
      <w:pPr>
        <w:ind w:firstLine="480" w:firstLineChars="200"/>
        <w:rPr>
          <w:rFonts w:ascii="宋体" w:hAnsi="宋体"/>
          <w:bCs/>
          <w:color w:val="000000"/>
        </w:rPr>
      </w:pPr>
      <w:r>
        <w:rPr>
          <w:rFonts w:hint="eastAsia" w:ascii="宋体" w:hAnsi="宋体"/>
          <w:color w:val="000000"/>
        </w:rPr>
        <w:t>第二期款：服务结束并经双方验收合格之日起的</w:t>
      </w:r>
      <w:r>
        <w:rPr>
          <w:rFonts w:hint="eastAsia" w:ascii="宋体" w:hAnsi="宋体"/>
          <w:color w:val="000000"/>
          <w:lang w:val="en-US" w:eastAsia="zh-CN"/>
        </w:rPr>
        <w:t>30</w:t>
      </w:r>
      <w:r>
        <w:rPr>
          <w:rFonts w:hint="eastAsia" w:ascii="宋体" w:hAnsi="宋体"/>
          <w:color w:val="000000"/>
        </w:rPr>
        <w:t>日内由采购人支付合同总金额</w:t>
      </w:r>
      <w:r>
        <w:rPr>
          <w:rFonts w:hint="eastAsia" w:ascii="宋体" w:hAnsi="宋体"/>
          <w:color w:val="000000"/>
          <w:lang w:val="en-US" w:eastAsia="zh-CN"/>
        </w:rPr>
        <w:t>50</w:t>
      </w:r>
      <w:r>
        <w:rPr>
          <w:rFonts w:hint="eastAsia" w:ascii="宋体" w:hAnsi="宋体"/>
          <w:color w:val="000000"/>
        </w:rPr>
        <w:t>%给中标</w:t>
      </w:r>
      <w:r>
        <w:rPr>
          <w:rFonts w:hint="eastAsia" w:ascii="宋体" w:hAnsi="宋体" w:cs="宋体"/>
        </w:rPr>
        <w:t>服务商</w:t>
      </w:r>
      <w:r>
        <w:rPr>
          <w:rFonts w:hint="eastAsia" w:ascii="宋体" w:hAnsi="宋体"/>
          <w:color w:val="000000"/>
        </w:rPr>
        <w:t>。</w:t>
      </w:r>
    </w:p>
    <w:p>
      <w:pPr>
        <w:pStyle w:val="3"/>
        <w:numPr>
          <w:ilvl w:val="0"/>
          <w:numId w:val="3"/>
        </w:numPr>
        <w:spacing w:before="0" w:after="0"/>
        <w:jc w:val="left"/>
        <w:rPr>
          <w:rFonts w:ascii="黑体" w:hAnsi="黑体" w:eastAsia="黑体" w:cs="黑体"/>
          <w:bCs/>
          <w:kern w:val="0"/>
          <w:sz w:val="32"/>
          <w:szCs w:val="32"/>
          <w:lang w:val="zh-CN"/>
        </w:rPr>
      </w:pPr>
      <w:r>
        <w:rPr>
          <w:rFonts w:hint="eastAsia" w:ascii="黑体" w:hAnsi="黑体" w:eastAsia="黑体" w:cs="黑体"/>
          <w:bCs/>
          <w:kern w:val="0"/>
          <w:sz w:val="32"/>
          <w:szCs w:val="32"/>
          <w:lang w:val="zh-CN"/>
        </w:rPr>
        <w:t>选定原则与中标方法</w:t>
      </w:r>
    </w:p>
    <w:p>
      <w:pPr>
        <w:pStyle w:val="4"/>
        <w:numPr>
          <w:ilvl w:val="1"/>
          <w:numId w:val="11"/>
        </w:numPr>
        <w:spacing w:before="156" w:beforeLines="50" w:after="156" w:afterLines="50"/>
        <w:rPr>
          <w:rFonts w:ascii="宋体" w:hAnsi="宋体" w:eastAsia="宋体"/>
          <w:sz w:val="24"/>
          <w:szCs w:val="24"/>
        </w:rPr>
      </w:pPr>
      <w:r>
        <w:rPr>
          <w:rFonts w:hint="eastAsia" w:ascii="宋体" w:hAnsi="宋体" w:eastAsia="宋体"/>
          <w:sz w:val="24"/>
          <w:szCs w:val="24"/>
        </w:rPr>
        <w:t>按能够最大限度地满足采购需求文件中规定的各项综合标准的原则选定。</w:t>
      </w:r>
    </w:p>
    <w:p>
      <w:pPr>
        <w:pStyle w:val="4"/>
        <w:numPr>
          <w:ilvl w:val="1"/>
          <w:numId w:val="11"/>
        </w:numPr>
        <w:spacing w:before="156" w:beforeLines="50" w:after="156" w:afterLines="50"/>
        <w:rPr>
          <w:rFonts w:ascii="宋体" w:hAnsi="宋体" w:eastAsia="宋体"/>
          <w:sz w:val="24"/>
          <w:szCs w:val="24"/>
        </w:rPr>
      </w:pPr>
      <w:r>
        <w:rPr>
          <w:rFonts w:hint="eastAsia" w:ascii="宋体" w:hAnsi="宋体" w:eastAsia="宋体"/>
          <w:sz w:val="24"/>
          <w:szCs w:val="24"/>
        </w:rPr>
        <w:t>本次以采购需求文件中规定的条件为原则，最低报价不作为选定中标的唯一依据。</w:t>
      </w:r>
    </w:p>
    <w:sectPr>
      <w:pgSz w:w="11906" w:h="16838"/>
      <w:pgMar w:top="1440" w:right="991" w:bottom="1440" w:left="1276"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大标宋简体">
    <w:altName w:val="微软雅黑"/>
    <w:panose1 w:val="03000509000000000000"/>
    <w:charset w:val="86"/>
    <w:family w:val="script"/>
    <w:pitch w:val="default"/>
    <w:sig w:usb0="00000000" w:usb1="00000000" w:usb2="00000010" w:usb3="00000000" w:csb0="00040000"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CC7EBF"/>
    <w:multiLevelType w:val="multilevel"/>
    <w:tmpl w:val="11CC7EBF"/>
    <w:lvl w:ilvl="0" w:tentative="0">
      <w:start w:val="1"/>
      <w:numFmt w:val="chineseCountingThousand"/>
      <w:pStyle w:val="3"/>
      <w:lvlText w:val="第%1章"/>
      <w:lvlJc w:val="left"/>
      <w:pPr>
        <w:ind w:left="283" w:firstLine="0"/>
      </w:pPr>
      <w:rPr>
        <w:rFonts w:hint="eastAsia" w:ascii="宋体" w:hAnsi="宋体" w:eastAsia="宋体"/>
        <w:sz w:val="44"/>
        <w:szCs w:val="44"/>
      </w:rPr>
    </w:lvl>
    <w:lvl w:ilvl="1" w:tentative="0">
      <w:start w:val="1"/>
      <w:numFmt w:val="decimal"/>
      <w:pStyle w:val="4"/>
      <w:lvlText w:val="%2."/>
      <w:lvlJc w:val="left"/>
      <w:pPr>
        <w:ind w:left="703" w:hanging="420"/>
      </w:pPr>
      <w:rPr>
        <w:rFonts w:hint="eastAsia"/>
      </w:rPr>
    </w:lvl>
    <w:lvl w:ilvl="2" w:tentative="0">
      <w:start w:val="1"/>
      <w:numFmt w:val="decimal"/>
      <w:pStyle w:val="5"/>
      <w:suff w:val="nothing"/>
      <w:lvlText w:val="%3 "/>
      <w:lvlJc w:val="left"/>
      <w:pPr>
        <w:ind w:left="283" w:firstLine="0"/>
      </w:pPr>
      <w:rPr>
        <w:rFonts w:hint="eastAsia"/>
      </w:rPr>
    </w:lvl>
    <w:lvl w:ilvl="3" w:tentative="0">
      <w:start w:val="1"/>
      <w:numFmt w:val="none"/>
      <w:suff w:val="nothing"/>
      <w:lvlText w:val=""/>
      <w:lvlJc w:val="left"/>
      <w:pPr>
        <w:ind w:left="283" w:firstLine="0"/>
      </w:pPr>
      <w:rPr>
        <w:rFonts w:hint="eastAsia"/>
      </w:rPr>
    </w:lvl>
    <w:lvl w:ilvl="4" w:tentative="0">
      <w:start w:val="1"/>
      <w:numFmt w:val="none"/>
      <w:pStyle w:val="7"/>
      <w:suff w:val="nothing"/>
      <w:lvlText w:val=""/>
      <w:lvlJc w:val="left"/>
      <w:pPr>
        <w:ind w:left="283" w:firstLine="0"/>
      </w:pPr>
      <w:rPr>
        <w:rFonts w:hint="eastAsia"/>
      </w:rPr>
    </w:lvl>
    <w:lvl w:ilvl="5" w:tentative="0">
      <w:start w:val="1"/>
      <w:numFmt w:val="none"/>
      <w:pStyle w:val="8"/>
      <w:suff w:val="nothing"/>
      <w:lvlText w:val=""/>
      <w:lvlJc w:val="left"/>
      <w:pPr>
        <w:ind w:left="283" w:firstLine="0"/>
      </w:pPr>
      <w:rPr>
        <w:rFonts w:hint="eastAsia"/>
      </w:rPr>
    </w:lvl>
    <w:lvl w:ilvl="6" w:tentative="0">
      <w:start w:val="1"/>
      <w:numFmt w:val="none"/>
      <w:pStyle w:val="9"/>
      <w:suff w:val="nothing"/>
      <w:lvlText w:val=""/>
      <w:lvlJc w:val="left"/>
      <w:pPr>
        <w:ind w:left="283" w:firstLine="0"/>
      </w:pPr>
      <w:rPr>
        <w:rFonts w:hint="eastAsia"/>
      </w:rPr>
    </w:lvl>
    <w:lvl w:ilvl="7" w:tentative="0">
      <w:start w:val="1"/>
      <w:numFmt w:val="none"/>
      <w:pStyle w:val="10"/>
      <w:suff w:val="nothing"/>
      <w:lvlText w:val=""/>
      <w:lvlJc w:val="left"/>
      <w:pPr>
        <w:ind w:left="283" w:firstLine="0"/>
      </w:pPr>
      <w:rPr>
        <w:rFonts w:hint="eastAsia"/>
      </w:rPr>
    </w:lvl>
    <w:lvl w:ilvl="8" w:tentative="0">
      <w:start w:val="1"/>
      <w:numFmt w:val="none"/>
      <w:pStyle w:val="11"/>
      <w:suff w:val="nothing"/>
      <w:lvlText w:val=""/>
      <w:lvlJc w:val="left"/>
      <w:pPr>
        <w:ind w:left="283" w:firstLine="0"/>
      </w:pPr>
      <w:rPr>
        <w:rFonts w:hint="eastAsia"/>
      </w:rPr>
    </w:lvl>
  </w:abstractNum>
  <w:abstractNum w:abstractNumId="1">
    <w:nsid w:val="1BC32B5D"/>
    <w:multiLevelType w:val="multilevel"/>
    <w:tmpl w:val="1BC32B5D"/>
    <w:lvl w:ilvl="0" w:tentative="0">
      <w:start w:val="1"/>
      <w:numFmt w:val="japaneseCounting"/>
      <w:lvlText w:val="%1、"/>
      <w:lvlJc w:val="left"/>
      <w:pPr>
        <w:ind w:left="640" w:hanging="640"/>
      </w:pPr>
      <w:rPr>
        <w:rFonts w:hint="default" w:ascii="黑体" w:hAnsi="黑体" w:eastAsia="黑体" w:cs="黑体"/>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E846120"/>
    <w:multiLevelType w:val="multilevel"/>
    <w:tmpl w:val="1E846120"/>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20336F63"/>
    <w:multiLevelType w:val="multilevel"/>
    <w:tmpl w:val="20336F63"/>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FA93488"/>
    <w:multiLevelType w:val="multilevel"/>
    <w:tmpl w:val="2FA93488"/>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2FC673D2"/>
    <w:multiLevelType w:val="multilevel"/>
    <w:tmpl w:val="2FC673D2"/>
    <w:lvl w:ilvl="0" w:tentative="0">
      <w:start w:val="1"/>
      <w:numFmt w:val="decimal"/>
      <w:pStyle w:val="6"/>
      <w:lvlText w:val="%1."/>
      <w:lvlJc w:val="left"/>
      <w:pPr>
        <w:ind w:left="2122" w:hanging="420"/>
      </w:pPr>
    </w:lvl>
    <w:lvl w:ilvl="1" w:tentative="0">
      <w:start w:val="1"/>
      <w:numFmt w:val="lowerLetter"/>
      <w:lvlText w:val="%2)"/>
      <w:lvlJc w:val="left"/>
      <w:pPr>
        <w:ind w:left="2542" w:hanging="420"/>
      </w:pPr>
    </w:lvl>
    <w:lvl w:ilvl="2" w:tentative="0">
      <w:start w:val="1"/>
      <w:numFmt w:val="lowerRoman"/>
      <w:lvlText w:val="%3."/>
      <w:lvlJc w:val="right"/>
      <w:pPr>
        <w:ind w:left="2962" w:hanging="420"/>
      </w:pPr>
    </w:lvl>
    <w:lvl w:ilvl="3" w:tentative="0">
      <w:start w:val="1"/>
      <w:numFmt w:val="decimal"/>
      <w:lvlText w:val="%4."/>
      <w:lvlJc w:val="left"/>
      <w:pPr>
        <w:ind w:left="3382" w:hanging="420"/>
      </w:pPr>
    </w:lvl>
    <w:lvl w:ilvl="4" w:tentative="0">
      <w:start w:val="1"/>
      <w:numFmt w:val="lowerLetter"/>
      <w:lvlText w:val="%5)"/>
      <w:lvlJc w:val="left"/>
      <w:pPr>
        <w:ind w:left="3802" w:hanging="420"/>
      </w:pPr>
    </w:lvl>
    <w:lvl w:ilvl="5" w:tentative="0">
      <w:start w:val="1"/>
      <w:numFmt w:val="lowerRoman"/>
      <w:lvlText w:val="%6."/>
      <w:lvlJc w:val="right"/>
      <w:pPr>
        <w:ind w:left="4222" w:hanging="420"/>
      </w:pPr>
    </w:lvl>
    <w:lvl w:ilvl="6" w:tentative="0">
      <w:start w:val="1"/>
      <w:numFmt w:val="decimal"/>
      <w:lvlText w:val="%7."/>
      <w:lvlJc w:val="left"/>
      <w:pPr>
        <w:ind w:left="4642" w:hanging="420"/>
      </w:pPr>
    </w:lvl>
    <w:lvl w:ilvl="7" w:tentative="0">
      <w:start w:val="1"/>
      <w:numFmt w:val="lowerLetter"/>
      <w:lvlText w:val="%8)"/>
      <w:lvlJc w:val="left"/>
      <w:pPr>
        <w:ind w:left="5062" w:hanging="420"/>
      </w:pPr>
    </w:lvl>
    <w:lvl w:ilvl="8" w:tentative="0">
      <w:start w:val="1"/>
      <w:numFmt w:val="lowerRoman"/>
      <w:lvlText w:val="%9."/>
      <w:lvlJc w:val="right"/>
      <w:pPr>
        <w:ind w:left="5482" w:hanging="420"/>
      </w:pPr>
    </w:lvl>
  </w:abstractNum>
  <w:abstractNum w:abstractNumId="6">
    <w:nsid w:val="52DA2A52"/>
    <w:multiLevelType w:val="multilevel"/>
    <w:tmpl w:val="52DA2A52"/>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6B1C4ED6"/>
    <w:multiLevelType w:val="multilevel"/>
    <w:tmpl w:val="6B1C4ED6"/>
    <w:lvl w:ilvl="0" w:tentative="0">
      <w:start w:val="1"/>
      <w:numFmt w:val="decimal"/>
      <w:lvlText w:val="（%1）"/>
      <w:lvlJc w:val="left"/>
      <w:pPr>
        <w:ind w:left="1200" w:hanging="720"/>
      </w:pPr>
      <w:rPr>
        <w:rFonts w:hint="default" w:ascii="宋体" w:hAnsi="宋体" w:eastAsia="宋体"/>
        <w:sz w:val="24"/>
        <w:szCs w:val="24"/>
        <w:lang w:val="en-US"/>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5"/>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3"/>
  </w:num>
  <w:num w:numId="9">
    <w:abstractNumId w:val="4"/>
  </w:num>
  <w:num w:numId="10">
    <w:abstractNumId w:val="7"/>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FjZTQ0OWViZjM4YjllYTEyYmI3NDEwYzE3ODYyMzEifQ=="/>
  </w:docVars>
  <w:rsids>
    <w:rsidRoot w:val="008A7BE8"/>
    <w:rsid w:val="00014E44"/>
    <w:rsid w:val="000238FF"/>
    <w:rsid w:val="00052499"/>
    <w:rsid w:val="0005488B"/>
    <w:rsid w:val="000A727D"/>
    <w:rsid w:val="000B71EA"/>
    <w:rsid w:val="000B7DE2"/>
    <w:rsid w:val="000C3A33"/>
    <w:rsid w:val="000C7FCB"/>
    <w:rsid w:val="000D70B5"/>
    <w:rsid w:val="000E0F7D"/>
    <w:rsid w:val="000F467C"/>
    <w:rsid w:val="000F6EEB"/>
    <w:rsid w:val="00100B02"/>
    <w:rsid w:val="00121A82"/>
    <w:rsid w:val="00122F54"/>
    <w:rsid w:val="00175973"/>
    <w:rsid w:val="0018225D"/>
    <w:rsid w:val="001B310E"/>
    <w:rsid w:val="001E3F54"/>
    <w:rsid w:val="0021202D"/>
    <w:rsid w:val="00212B8A"/>
    <w:rsid w:val="002156B9"/>
    <w:rsid w:val="00233069"/>
    <w:rsid w:val="00234918"/>
    <w:rsid w:val="00237AEF"/>
    <w:rsid w:val="00286C15"/>
    <w:rsid w:val="002950B4"/>
    <w:rsid w:val="002956EE"/>
    <w:rsid w:val="002A7450"/>
    <w:rsid w:val="002D2165"/>
    <w:rsid w:val="002E0F36"/>
    <w:rsid w:val="00307F0C"/>
    <w:rsid w:val="00314E2A"/>
    <w:rsid w:val="00327D6B"/>
    <w:rsid w:val="00360956"/>
    <w:rsid w:val="00374B0E"/>
    <w:rsid w:val="00395858"/>
    <w:rsid w:val="003C6CD8"/>
    <w:rsid w:val="003E6C52"/>
    <w:rsid w:val="004035C8"/>
    <w:rsid w:val="00417902"/>
    <w:rsid w:val="004471A8"/>
    <w:rsid w:val="00480B1D"/>
    <w:rsid w:val="00480C7B"/>
    <w:rsid w:val="004A1C5B"/>
    <w:rsid w:val="004B0954"/>
    <w:rsid w:val="004F1CB3"/>
    <w:rsid w:val="00504E38"/>
    <w:rsid w:val="005157E2"/>
    <w:rsid w:val="00544460"/>
    <w:rsid w:val="00570FF7"/>
    <w:rsid w:val="005836C3"/>
    <w:rsid w:val="005D3F6F"/>
    <w:rsid w:val="005D75F7"/>
    <w:rsid w:val="005F6054"/>
    <w:rsid w:val="006275EC"/>
    <w:rsid w:val="00642CE4"/>
    <w:rsid w:val="00654BD9"/>
    <w:rsid w:val="00692660"/>
    <w:rsid w:val="006A141C"/>
    <w:rsid w:val="006E4963"/>
    <w:rsid w:val="006F30DA"/>
    <w:rsid w:val="00703C67"/>
    <w:rsid w:val="007637B1"/>
    <w:rsid w:val="007A1A97"/>
    <w:rsid w:val="007B47AF"/>
    <w:rsid w:val="008126C2"/>
    <w:rsid w:val="008219D9"/>
    <w:rsid w:val="00834A2A"/>
    <w:rsid w:val="008373C2"/>
    <w:rsid w:val="00837810"/>
    <w:rsid w:val="00843564"/>
    <w:rsid w:val="0086027E"/>
    <w:rsid w:val="0087235A"/>
    <w:rsid w:val="00875930"/>
    <w:rsid w:val="008924FC"/>
    <w:rsid w:val="00893734"/>
    <w:rsid w:val="008A7BE8"/>
    <w:rsid w:val="008C0333"/>
    <w:rsid w:val="008C08A9"/>
    <w:rsid w:val="008D070D"/>
    <w:rsid w:val="008F7131"/>
    <w:rsid w:val="00912239"/>
    <w:rsid w:val="00935841"/>
    <w:rsid w:val="00947C59"/>
    <w:rsid w:val="009767CE"/>
    <w:rsid w:val="009D180E"/>
    <w:rsid w:val="009E07BB"/>
    <w:rsid w:val="009E543E"/>
    <w:rsid w:val="00A24D54"/>
    <w:rsid w:val="00A26C65"/>
    <w:rsid w:val="00A478F9"/>
    <w:rsid w:val="00A53887"/>
    <w:rsid w:val="00A63AE2"/>
    <w:rsid w:val="00AB1E95"/>
    <w:rsid w:val="00AC77EA"/>
    <w:rsid w:val="00AF093E"/>
    <w:rsid w:val="00B04C4B"/>
    <w:rsid w:val="00B142B5"/>
    <w:rsid w:val="00B358BB"/>
    <w:rsid w:val="00B84062"/>
    <w:rsid w:val="00BB35E2"/>
    <w:rsid w:val="00BD5ADA"/>
    <w:rsid w:val="00C07489"/>
    <w:rsid w:val="00C16078"/>
    <w:rsid w:val="00C43CB3"/>
    <w:rsid w:val="00C44E14"/>
    <w:rsid w:val="00C73056"/>
    <w:rsid w:val="00C763DA"/>
    <w:rsid w:val="00C91C0F"/>
    <w:rsid w:val="00CD042E"/>
    <w:rsid w:val="00CD65BC"/>
    <w:rsid w:val="00D16C6A"/>
    <w:rsid w:val="00D213DF"/>
    <w:rsid w:val="00D216BD"/>
    <w:rsid w:val="00D51ED5"/>
    <w:rsid w:val="00D610DB"/>
    <w:rsid w:val="00DC1D0F"/>
    <w:rsid w:val="00DE0D16"/>
    <w:rsid w:val="00E473FD"/>
    <w:rsid w:val="00E56397"/>
    <w:rsid w:val="00E70827"/>
    <w:rsid w:val="00E80789"/>
    <w:rsid w:val="00EC224A"/>
    <w:rsid w:val="00EC4ED0"/>
    <w:rsid w:val="00EC5B9C"/>
    <w:rsid w:val="00EC6AE8"/>
    <w:rsid w:val="00EF38C1"/>
    <w:rsid w:val="00F0006D"/>
    <w:rsid w:val="00F11608"/>
    <w:rsid w:val="00F375AB"/>
    <w:rsid w:val="00F82636"/>
    <w:rsid w:val="00F92C19"/>
    <w:rsid w:val="00FA1ECF"/>
    <w:rsid w:val="00FB6D33"/>
    <w:rsid w:val="00FC48AC"/>
    <w:rsid w:val="00FD03AC"/>
    <w:rsid w:val="00FE60FB"/>
    <w:rsid w:val="01F9035B"/>
    <w:rsid w:val="039842CF"/>
    <w:rsid w:val="05A30D0A"/>
    <w:rsid w:val="06110369"/>
    <w:rsid w:val="06B974DC"/>
    <w:rsid w:val="06C64F0B"/>
    <w:rsid w:val="081C4DA3"/>
    <w:rsid w:val="08DE012D"/>
    <w:rsid w:val="10833C11"/>
    <w:rsid w:val="129F0AAB"/>
    <w:rsid w:val="12A32349"/>
    <w:rsid w:val="132F1E2E"/>
    <w:rsid w:val="13EE1CEA"/>
    <w:rsid w:val="149503B7"/>
    <w:rsid w:val="14D02BF1"/>
    <w:rsid w:val="156038DF"/>
    <w:rsid w:val="159D5775"/>
    <w:rsid w:val="17A56B63"/>
    <w:rsid w:val="190478B9"/>
    <w:rsid w:val="192817FA"/>
    <w:rsid w:val="1A8C7B66"/>
    <w:rsid w:val="1D13631D"/>
    <w:rsid w:val="1FB913FE"/>
    <w:rsid w:val="228850B7"/>
    <w:rsid w:val="23241284"/>
    <w:rsid w:val="237D2742"/>
    <w:rsid w:val="23963804"/>
    <w:rsid w:val="24BE1264"/>
    <w:rsid w:val="24DE36B4"/>
    <w:rsid w:val="251F7F55"/>
    <w:rsid w:val="25A846C9"/>
    <w:rsid w:val="265951C3"/>
    <w:rsid w:val="276C4FA7"/>
    <w:rsid w:val="27A97FAA"/>
    <w:rsid w:val="2AE35581"/>
    <w:rsid w:val="2D122EB9"/>
    <w:rsid w:val="2ECE02F6"/>
    <w:rsid w:val="2FE9188B"/>
    <w:rsid w:val="30383DBF"/>
    <w:rsid w:val="306E1D90"/>
    <w:rsid w:val="31E57E30"/>
    <w:rsid w:val="32A944B2"/>
    <w:rsid w:val="34761214"/>
    <w:rsid w:val="368F2A60"/>
    <w:rsid w:val="36A52284"/>
    <w:rsid w:val="372B2789"/>
    <w:rsid w:val="37AB38CA"/>
    <w:rsid w:val="3A2213D1"/>
    <w:rsid w:val="3D115F7D"/>
    <w:rsid w:val="3DEA3E71"/>
    <w:rsid w:val="3E976956"/>
    <w:rsid w:val="40095632"/>
    <w:rsid w:val="454A2974"/>
    <w:rsid w:val="469519CD"/>
    <w:rsid w:val="46A936CA"/>
    <w:rsid w:val="472D60AA"/>
    <w:rsid w:val="488F68F0"/>
    <w:rsid w:val="49946214"/>
    <w:rsid w:val="49FC6411"/>
    <w:rsid w:val="4A730277"/>
    <w:rsid w:val="4BE56F53"/>
    <w:rsid w:val="4C143394"/>
    <w:rsid w:val="4D50098E"/>
    <w:rsid w:val="4DA66A00"/>
    <w:rsid w:val="4F86399A"/>
    <w:rsid w:val="5371731E"/>
    <w:rsid w:val="55393E6B"/>
    <w:rsid w:val="56436613"/>
    <w:rsid w:val="57A557E8"/>
    <w:rsid w:val="58160494"/>
    <w:rsid w:val="593C03CE"/>
    <w:rsid w:val="59F82547"/>
    <w:rsid w:val="5A026F22"/>
    <w:rsid w:val="5FB05BF8"/>
    <w:rsid w:val="611A2DA3"/>
    <w:rsid w:val="6186668A"/>
    <w:rsid w:val="64025D70"/>
    <w:rsid w:val="642D103F"/>
    <w:rsid w:val="6623094C"/>
    <w:rsid w:val="66486604"/>
    <w:rsid w:val="673E62FC"/>
    <w:rsid w:val="67B37AAD"/>
    <w:rsid w:val="683F57E5"/>
    <w:rsid w:val="69886D18"/>
    <w:rsid w:val="69FA7C16"/>
    <w:rsid w:val="6B6C68F1"/>
    <w:rsid w:val="71080E6A"/>
    <w:rsid w:val="726227FC"/>
    <w:rsid w:val="72916C3D"/>
    <w:rsid w:val="72983B2D"/>
    <w:rsid w:val="73D34C4F"/>
    <w:rsid w:val="750C4CA1"/>
    <w:rsid w:val="75FC6AC3"/>
    <w:rsid w:val="75FF3F29"/>
    <w:rsid w:val="76833998"/>
    <w:rsid w:val="76FD79BD"/>
    <w:rsid w:val="781C344D"/>
    <w:rsid w:val="796E5D3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pPr>
    <w:rPr>
      <w:rFonts w:ascii="Times New Roman" w:hAnsi="Times New Roman" w:eastAsia="宋体" w:cs="Times New Roman"/>
      <w:kern w:val="2"/>
      <w:sz w:val="24"/>
      <w:szCs w:val="21"/>
      <w:lang w:val="en-US" w:eastAsia="zh-CN" w:bidi="ar-SA"/>
    </w:rPr>
  </w:style>
  <w:style w:type="paragraph" w:styleId="3">
    <w:name w:val="heading 1"/>
    <w:basedOn w:val="1"/>
    <w:next w:val="1"/>
    <w:link w:val="23"/>
    <w:qFormat/>
    <w:uiPriority w:val="9"/>
    <w:pPr>
      <w:keepNext/>
      <w:keepLines/>
      <w:widowControl w:val="0"/>
      <w:numPr>
        <w:ilvl w:val="0"/>
        <w:numId w:val="1"/>
      </w:numPr>
      <w:spacing w:before="340" w:after="330"/>
      <w:jc w:val="center"/>
      <w:outlineLvl w:val="0"/>
    </w:pPr>
    <w:rPr>
      <w:rFonts w:ascii="楷体_GB2312" w:eastAsia="楷体_GB2312"/>
      <w:b/>
      <w:kern w:val="44"/>
      <w:sz w:val="30"/>
      <w:szCs w:val="44"/>
    </w:rPr>
  </w:style>
  <w:style w:type="paragraph" w:styleId="4">
    <w:name w:val="heading 2"/>
    <w:basedOn w:val="1"/>
    <w:next w:val="1"/>
    <w:link w:val="24"/>
    <w:qFormat/>
    <w:uiPriority w:val="9"/>
    <w:pPr>
      <w:keepNext/>
      <w:keepLines/>
      <w:widowControl w:val="0"/>
      <w:numPr>
        <w:ilvl w:val="1"/>
        <w:numId w:val="1"/>
      </w:numPr>
      <w:spacing w:before="260" w:after="260"/>
      <w:jc w:val="both"/>
      <w:outlineLvl w:val="1"/>
    </w:pPr>
    <w:rPr>
      <w:rFonts w:ascii="Arial" w:hAnsi="Arial" w:eastAsia="黑体"/>
      <w:b/>
      <w:sz w:val="32"/>
      <w:szCs w:val="32"/>
    </w:rPr>
  </w:style>
  <w:style w:type="paragraph" w:styleId="5">
    <w:name w:val="heading 3"/>
    <w:basedOn w:val="1"/>
    <w:next w:val="1"/>
    <w:link w:val="32"/>
    <w:qFormat/>
    <w:uiPriority w:val="9"/>
    <w:pPr>
      <w:keepNext/>
      <w:keepLines/>
      <w:numPr>
        <w:ilvl w:val="2"/>
        <w:numId w:val="1"/>
      </w:numPr>
      <w:spacing w:before="260" w:after="260" w:line="416" w:lineRule="auto"/>
      <w:outlineLvl w:val="2"/>
    </w:pPr>
    <w:rPr>
      <w:b/>
      <w:bCs/>
      <w:kern w:val="0"/>
      <w:sz w:val="32"/>
      <w:szCs w:val="32"/>
    </w:rPr>
  </w:style>
  <w:style w:type="paragraph" w:styleId="6">
    <w:name w:val="heading 4"/>
    <w:basedOn w:val="1"/>
    <w:next w:val="1"/>
    <w:link w:val="26"/>
    <w:qFormat/>
    <w:uiPriority w:val="9"/>
    <w:pPr>
      <w:keepNext/>
      <w:keepLines/>
      <w:widowControl w:val="0"/>
      <w:numPr>
        <w:ilvl w:val="0"/>
        <w:numId w:val="2"/>
      </w:numPr>
      <w:tabs>
        <w:tab w:val="left" w:pos="851"/>
      </w:tabs>
      <w:spacing w:beforeLines="50" w:afterLines="50"/>
      <w:jc w:val="both"/>
      <w:outlineLvl w:val="3"/>
    </w:pPr>
    <w:rPr>
      <w:rFonts w:ascii="Arial" w:hAnsi="Arial"/>
      <w:b/>
      <w:bCs/>
      <w:sz w:val="28"/>
      <w:szCs w:val="28"/>
    </w:rPr>
  </w:style>
  <w:style w:type="paragraph" w:styleId="7">
    <w:name w:val="heading 5"/>
    <w:basedOn w:val="1"/>
    <w:next w:val="1"/>
    <w:link w:val="27"/>
    <w:qFormat/>
    <w:uiPriority w:val="0"/>
    <w:pPr>
      <w:keepNext/>
      <w:keepLines/>
      <w:widowControl w:val="0"/>
      <w:numPr>
        <w:ilvl w:val="4"/>
        <w:numId w:val="1"/>
      </w:numPr>
      <w:tabs>
        <w:tab w:val="left" w:pos="812"/>
      </w:tabs>
      <w:spacing w:before="280" w:after="290"/>
      <w:jc w:val="both"/>
      <w:outlineLvl w:val="4"/>
    </w:pPr>
    <w:rPr>
      <w:rFonts w:ascii="Arial" w:hAnsi="Arial"/>
      <w:b/>
      <w:bCs/>
      <w:sz w:val="21"/>
      <w:szCs w:val="28"/>
    </w:rPr>
  </w:style>
  <w:style w:type="paragraph" w:styleId="8">
    <w:name w:val="heading 6"/>
    <w:basedOn w:val="1"/>
    <w:next w:val="1"/>
    <w:link w:val="28"/>
    <w:qFormat/>
    <w:uiPriority w:val="0"/>
    <w:pPr>
      <w:keepNext/>
      <w:keepLines/>
      <w:numPr>
        <w:ilvl w:val="5"/>
        <w:numId w:val="1"/>
      </w:numPr>
      <w:spacing w:before="240" w:after="64" w:line="320" w:lineRule="auto"/>
      <w:outlineLvl w:val="5"/>
    </w:pPr>
    <w:rPr>
      <w:rFonts w:ascii="等线 Light" w:hAnsi="等线 Light" w:eastAsia="等线 Light"/>
      <w:b/>
      <w:bCs/>
      <w:szCs w:val="24"/>
    </w:rPr>
  </w:style>
  <w:style w:type="paragraph" w:styleId="9">
    <w:name w:val="heading 7"/>
    <w:basedOn w:val="1"/>
    <w:next w:val="1"/>
    <w:link w:val="29"/>
    <w:qFormat/>
    <w:uiPriority w:val="0"/>
    <w:pPr>
      <w:keepNext/>
      <w:keepLines/>
      <w:numPr>
        <w:ilvl w:val="6"/>
        <w:numId w:val="1"/>
      </w:numPr>
      <w:spacing w:before="240" w:after="64" w:line="320" w:lineRule="auto"/>
      <w:outlineLvl w:val="6"/>
    </w:pPr>
    <w:rPr>
      <w:b/>
      <w:bCs/>
      <w:szCs w:val="24"/>
    </w:rPr>
  </w:style>
  <w:style w:type="paragraph" w:styleId="10">
    <w:name w:val="heading 8"/>
    <w:basedOn w:val="1"/>
    <w:next w:val="1"/>
    <w:link w:val="30"/>
    <w:qFormat/>
    <w:uiPriority w:val="0"/>
    <w:pPr>
      <w:keepNext/>
      <w:keepLines/>
      <w:numPr>
        <w:ilvl w:val="7"/>
        <w:numId w:val="1"/>
      </w:numPr>
      <w:spacing w:before="240" w:after="64" w:line="320" w:lineRule="auto"/>
      <w:outlineLvl w:val="7"/>
    </w:pPr>
    <w:rPr>
      <w:rFonts w:ascii="等线 Light" w:hAnsi="等线 Light" w:eastAsia="等线 Light"/>
      <w:szCs w:val="24"/>
    </w:rPr>
  </w:style>
  <w:style w:type="paragraph" w:styleId="11">
    <w:name w:val="heading 9"/>
    <w:basedOn w:val="1"/>
    <w:next w:val="1"/>
    <w:link w:val="31"/>
    <w:qFormat/>
    <w:uiPriority w:val="0"/>
    <w:pPr>
      <w:keepNext/>
      <w:keepLines/>
      <w:numPr>
        <w:ilvl w:val="8"/>
        <w:numId w:val="1"/>
      </w:numPr>
      <w:spacing w:before="240" w:after="64" w:line="320" w:lineRule="auto"/>
      <w:outlineLvl w:val="8"/>
    </w:pPr>
    <w:rPr>
      <w:rFonts w:ascii="等线 Light" w:hAnsi="等线 Light" w:eastAsia="等线 Light"/>
      <w:sz w:val="21"/>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_Style 3"/>
    <w:qFormat/>
    <w:uiPriority w:val="0"/>
    <w:pPr>
      <w:widowControl w:val="0"/>
      <w:jc w:val="both"/>
    </w:pPr>
    <w:rPr>
      <w:rFonts w:ascii="Calibri" w:hAnsi="Calibri" w:eastAsia="宋体" w:cs="Times New Roman"/>
      <w:kern w:val="2"/>
      <w:sz w:val="21"/>
      <w:szCs w:val="22"/>
      <w:lang w:val="en-US" w:eastAsia="zh-CN" w:bidi="ar-SA"/>
    </w:rPr>
  </w:style>
  <w:style w:type="paragraph" w:styleId="12">
    <w:name w:val="annotation text"/>
    <w:basedOn w:val="1"/>
    <w:link w:val="38"/>
    <w:semiHidden/>
    <w:unhideWhenUsed/>
    <w:qFormat/>
    <w:uiPriority w:val="99"/>
  </w:style>
  <w:style w:type="paragraph" w:styleId="13">
    <w:name w:val="Plain Text"/>
    <w:basedOn w:val="1"/>
    <w:link w:val="41"/>
    <w:qFormat/>
    <w:uiPriority w:val="0"/>
    <w:pPr>
      <w:widowControl w:val="0"/>
      <w:spacing w:line="240" w:lineRule="auto"/>
      <w:jc w:val="both"/>
    </w:pPr>
    <w:rPr>
      <w:rFonts w:ascii="宋体" w:hAnsi="Courier New"/>
      <w:sz w:val="21"/>
      <w:szCs w:val="20"/>
    </w:rPr>
  </w:style>
  <w:style w:type="paragraph" w:styleId="14">
    <w:name w:val="Balloon Text"/>
    <w:basedOn w:val="1"/>
    <w:link w:val="37"/>
    <w:semiHidden/>
    <w:unhideWhenUsed/>
    <w:qFormat/>
    <w:uiPriority w:val="99"/>
    <w:pPr>
      <w:spacing w:line="240" w:lineRule="auto"/>
    </w:pPr>
    <w:rPr>
      <w:sz w:val="18"/>
      <w:szCs w:val="18"/>
    </w:rPr>
  </w:style>
  <w:style w:type="paragraph" w:styleId="15">
    <w:name w:val="footer"/>
    <w:basedOn w:val="1"/>
    <w:link w:val="35"/>
    <w:unhideWhenUsed/>
    <w:qFormat/>
    <w:uiPriority w:val="99"/>
    <w:pPr>
      <w:tabs>
        <w:tab w:val="center" w:pos="4153"/>
        <w:tab w:val="right" w:pos="8306"/>
      </w:tabs>
      <w:snapToGrid w:val="0"/>
      <w:spacing w:line="240" w:lineRule="auto"/>
    </w:pPr>
    <w:rPr>
      <w:sz w:val="18"/>
      <w:szCs w:val="18"/>
    </w:rPr>
  </w:style>
  <w:style w:type="paragraph" w:styleId="16">
    <w:name w:val="header"/>
    <w:basedOn w:val="1"/>
    <w:link w:val="34"/>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7">
    <w:name w:val="annotation subject"/>
    <w:basedOn w:val="12"/>
    <w:next w:val="12"/>
    <w:link w:val="39"/>
    <w:semiHidden/>
    <w:unhideWhenUsed/>
    <w:uiPriority w:val="99"/>
    <w:rPr>
      <w:b/>
      <w:bCs/>
    </w:rPr>
  </w:style>
  <w:style w:type="table" w:styleId="19">
    <w:name w:val="Table Grid"/>
    <w:basedOn w:val="18"/>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annotation reference"/>
    <w:qFormat/>
    <w:uiPriority w:val="0"/>
    <w:rPr>
      <w:sz w:val="21"/>
      <w:szCs w:val="21"/>
    </w:rPr>
  </w:style>
  <w:style w:type="paragraph" w:styleId="22">
    <w:name w:val="List Paragraph"/>
    <w:basedOn w:val="1"/>
    <w:qFormat/>
    <w:uiPriority w:val="34"/>
    <w:pPr>
      <w:ind w:firstLine="420" w:firstLineChars="200"/>
    </w:pPr>
  </w:style>
  <w:style w:type="character" w:customStyle="1" w:styleId="23">
    <w:name w:val="标题 1 Char"/>
    <w:basedOn w:val="20"/>
    <w:link w:val="3"/>
    <w:qFormat/>
    <w:uiPriority w:val="9"/>
    <w:rPr>
      <w:rFonts w:ascii="楷体_GB2312" w:hAnsi="Times New Roman" w:eastAsia="楷体_GB2312" w:cs="Times New Roman"/>
      <w:b/>
      <w:kern w:val="44"/>
      <w:sz w:val="30"/>
      <w:szCs w:val="44"/>
    </w:rPr>
  </w:style>
  <w:style w:type="character" w:customStyle="1" w:styleId="24">
    <w:name w:val="标题 2 Char"/>
    <w:basedOn w:val="20"/>
    <w:link w:val="4"/>
    <w:qFormat/>
    <w:uiPriority w:val="9"/>
    <w:rPr>
      <w:rFonts w:ascii="Arial" w:hAnsi="Arial" w:eastAsia="黑体" w:cs="Times New Roman"/>
      <w:b/>
      <w:kern w:val="2"/>
      <w:sz w:val="32"/>
      <w:szCs w:val="32"/>
    </w:rPr>
  </w:style>
  <w:style w:type="character" w:customStyle="1" w:styleId="25">
    <w:name w:val="标题 3 字符"/>
    <w:basedOn w:val="20"/>
    <w:semiHidden/>
    <w:qFormat/>
    <w:uiPriority w:val="9"/>
    <w:rPr>
      <w:rFonts w:ascii="Times New Roman" w:hAnsi="Times New Roman" w:eastAsia="宋体" w:cs="Times New Roman"/>
      <w:b/>
      <w:bCs/>
      <w:sz w:val="32"/>
      <w:szCs w:val="32"/>
    </w:rPr>
  </w:style>
  <w:style w:type="character" w:customStyle="1" w:styleId="26">
    <w:name w:val="标题 4 Char"/>
    <w:basedOn w:val="20"/>
    <w:link w:val="6"/>
    <w:qFormat/>
    <w:uiPriority w:val="9"/>
    <w:rPr>
      <w:rFonts w:ascii="Arial" w:hAnsi="Arial" w:eastAsia="宋体" w:cs="Times New Roman"/>
      <w:b/>
      <w:bCs/>
      <w:sz w:val="28"/>
      <w:szCs w:val="28"/>
    </w:rPr>
  </w:style>
  <w:style w:type="character" w:customStyle="1" w:styleId="27">
    <w:name w:val="标题 5 Char"/>
    <w:basedOn w:val="20"/>
    <w:link w:val="7"/>
    <w:qFormat/>
    <w:uiPriority w:val="0"/>
    <w:rPr>
      <w:rFonts w:ascii="Arial" w:hAnsi="Arial" w:eastAsia="宋体" w:cs="Times New Roman"/>
      <w:b/>
      <w:bCs/>
      <w:szCs w:val="28"/>
    </w:rPr>
  </w:style>
  <w:style w:type="character" w:customStyle="1" w:styleId="28">
    <w:name w:val="标题 6 Char"/>
    <w:basedOn w:val="20"/>
    <w:link w:val="8"/>
    <w:qFormat/>
    <w:uiPriority w:val="0"/>
    <w:rPr>
      <w:rFonts w:ascii="等线 Light" w:hAnsi="等线 Light" w:eastAsia="等线 Light" w:cs="Times New Roman"/>
      <w:b/>
      <w:bCs/>
      <w:sz w:val="24"/>
      <w:szCs w:val="24"/>
    </w:rPr>
  </w:style>
  <w:style w:type="character" w:customStyle="1" w:styleId="29">
    <w:name w:val="标题 7 Char"/>
    <w:basedOn w:val="20"/>
    <w:link w:val="9"/>
    <w:qFormat/>
    <w:uiPriority w:val="0"/>
    <w:rPr>
      <w:rFonts w:ascii="Times New Roman" w:hAnsi="Times New Roman" w:eastAsia="宋体" w:cs="Times New Roman"/>
      <w:b/>
      <w:bCs/>
      <w:sz w:val="24"/>
      <w:szCs w:val="24"/>
    </w:rPr>
  </w:style>
  <w:style w:type="character" w:customStyle="1" w:styleId="30">
    <w:name w:val="标题 8 Char"/>
    <w:basedOn w:val="20"/>
    <w:link w:val="10"/>
    <w:qFormat/>
    <w:uiPriority w:val="0"/>
    <w:rPr>
      <w:rFonts w:ascii="等线 Light" w:hAnsi="等线 Light" w:eastAsia="等线 Light" w:cs="Times New Roman"/>
      <w:sz w:val="24"/>
      <w:szCs w:val="24"/>
    </w:rPr>
  </w:style>
  <w:style w:type="character" w:customStyle="1" w:styleId="31">
    <w:name w:val="标题 9 Char"/>
    <w:basedOn w:val="20"/>
    <w:link w:val="11"/>
    <w:qFormat/>
    <w:uiPriority w:val="0"/>
    <w:rPr>
      <w:rFonts w:ascii="等线 Light" w:hAnsi="等线 Light" w:eastAsia="等线 Light" w:cs="Times New Roman"/>
      <w:szCs w:val="21"/>
    </w:rPr>
  </w:style>
  <w:style w:type="character" w:customStyle="1" w:styleId="32">
    <w:name w:val="标题 3 Char"/>
    <w:link w:val="5"/>
    <w:qFormat/>
    <w:uiPriority w:val="9"/>
    <w:rPr>
      <w:rFonts w:ascii="Times New Roman" w:hAnsi="Times New Roman" w:eastAsia="宋体" w:cs="Times New Roman"/>
      <w:b/>
      <w:bCs/>
      <w:kern w:val="0"/>
      <w:sz w:val="32"/>
      <w:szCs w:val="32"/>
    </w:rPr>
  </w:style>
  <w:style w:type="paragraph" w:customStyle="1" w:styleId="33">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4">
    <w:name w:val="页眉 Char"/>
    <w:basedOn w:val="20"/>
    <w:link w:val="16"/>
    <w:qFormat/>
    <w:uiPriority w:val="99"/>
    <w:rPr>
      <w:rFonts w:ascii="Times New Roman" w:hAnsi="Times New Roman" w:eastAsia="宋体" w:cs="Times New Roman"/>
      <w:sz w:val="18"/>
      <w:szCs w:val="18"/>
    </w:rPr>
  </w:style>
  <w:style w:type="character" w:customStyle="1" w:styleId="35">
    <w:name w:val="页脚 Char"/>
    <w:basedOn w:val="20"/>
    <w:link w:val="15"/>
    <w:qFormat/>
    <w:uiPriority w:val="99"/>
    <w:rPr>
      <w:rFonts w:ascii="Times New Roman" w:hAnsi="Times New Roman" w:eastAsia="宋体" w:cs="Times New Roman"/>
      <w:sz w:val="18"/>
      <w:szCs w:val="18"/>
    </w:rPr>
  </w:style>
  <w:style w:type="paragraph" w:customStyle="1" w:styleId="36">
    <w:name w:val="修订1"/>
    <w:hidden/>
    <w:semiHidden/>
    <w:qFormat/>
    <w:uiPriority w:val="99"/>
    <w:rPr>
      <w:rFonts w:ascii="Times New Roman" w:hAnsi="Times New Roman" w:eastAsia="宋体" w:cs="Times New Roman"/>
      <w:kern w:val="2"/>
      <w:sz w:val="24"/>
      <w:szCs w:val="21"/>
      <w:lang w:val="en-US" w:eastAsia="zh-CN" w:bidi="ar-SA"/>
    </w:rPr>
  </w:style>
  <w:style w:type="character" w:customStyle="1" w:styleId="37">
    <w:name w:val="批注框文本 Char"/>
    <w:basedOn w:val="20"/>
    <w:link w:val="14"/>
    <w:semiHidden/>
    <w:qFormat/>
    <w:uiPriority w:val="99"/>
    <w:rPr>
      <w:rFonts w:ascii="Times New Roman" w:hAnsi="Times New Roman" w:eastAsia="宋体" w:cs="Times New Roman"/>
      <w:sz w:val="18"/>
      <w:szCs w:val="18"/>
    </w:rPr>
  </w:style>
  <w:style w:type="character" w:customStyle="1" w:styleId="38">
    <w:name w:val="批注文字 Char"/>
    <w:basedOn w:val="20"/>
    <w:link w:val="12"/>
    <w:semiHidden/>
    <w:uiPriority w:val="99"/>
    <w:rPr>
      <w:rFonts w:ascii="Times New Roman" w:hAnsi="Times New Roman" w:eastAsia="宋体" w:cs="Times New Roman"/>
      <w:sz w:val="24"/>
      <w:szCs w:val="21"/>
    </w:rPr>
  </w:style>
  <w:style w:type="character" w:customStyle="1" w:styleId="39">
    <w:name w:val="批注主题 Char"/>
    <w:basedOn w:val="38"/>
    <w:link w:val="17"/>
    <w:semiHidden/>
    <w:qFormat/>
    <w:uiPriority w:val="99"/>
    <w:rPr>
      <w:rFonts w:ascii="Times New Roman" w:hAnsi="Times New Roman" w:eastAsia="宋体" w:cs="Times New Roman"/>
      <w:b/>
      <w:bCs/>
      <w:sz w:val="24"/>
      <w:szCs w:val="21"/>
    </w:rPr>
  </w:style>
  <w:style w:type="paragraph" w:customStyle="1" w:styleId="40">
    <w:name w:val="列表段落1"/>
    <w:basedOn w:val="1"/>
    <w:qFormat/>
    <w:uiPriority w:val="34"/>
    <w:pPr>
      <w:overflowPunct w:val="0"/>
      <w:autoSpaceDE w:val="0"/>
      <w:autoSpaceDN w:val="0"/>
      <w:adjustRightInd w:val="0"/>
      <w:ind w:firstLine="420" w:firstLineChars="200"/>
    </w:pPr>
    <w:rPr>
      <w:kern w:val="0"/>
      <w:sz w:val="30"/>
      <w:szCs w:val="20"/>
    </w:rPr>
  </w:style>
  <w:style w:type="character" w:customStyle="1" w:styleId="41">
    <w:name w:val="纯文本 Char"/>
    <w:basedOn w:val="20"/>
    <w:link w:val="13"/>
    <w:qFormat/>
    <w:uiPriority w:val="0"/>
    <w:rPr>
      <w:rFonts w:ascii="宋体" w:hAnsi="Courier New" w:eastAsia="宋体" w:cs="Times New Roman"/>
      <w:kern w:val="2"/>
      <w:sz w:val="21"/>
    </w:rPr>
  </w:style>
  <w:style w:type="character" w:customStyle="1" w:styleId="42">
    <w:name w:val="font51"/>
    <w:basedOn w:val="20"/>
    <w:qFormat/>
    <w:uiPriority w:val="0"/>
    <w:rPr>
      <w:rFonts w:hint="eastAsia" w:ascii="宋体" w:hAnsi="宋体" w:eastAsia="宋体" w:cs="宋体"/>
      <w:color w:val="000000"/>
      <w:sz w:val="20"/>
      <w:szCs w:val="20"/>
      <w:u w:val="none"/>
    </w:rPr>
  </w:style>
  <w:style w:type="character" w:customStyle="1" w:styleId="43">
    <w:name w:val="font61"/>
    <w:basedOn w:val="20"/>
    <w:uiPriority w:val="0"/>
    <w:rPr>
      <w:rFonts w:hint="default" w:ascii="仿宋" w:hAnsi="仿宋" w:eastAsia="仿宋" w:cs="仿宋"/>
      <w:color w:val="000000"/>
      <w:sz w:val="20"/>
      <w:szCs w:val="20"/>
      <w:u w:val="none"/>
    </w:rPr>
  </w:style>
  <w:style w:type="character" w:customStyle="1" w:styleId="44">
    <w:name w:val="纯文本 Char1"/>
    <w:uiPriority w:val="0"/>
    <w:rPr>
      <w:rFonts w:ascii="宋体" w:hAnsi="Courier New"/>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Windsys.win</Company>
  <Pages>9</Pages>
  <Words>4725</Words>
  <Characters>5167</Characters>
  <Lines>38</Lines>
  <Paragraphs>10</Paragraphs>
  <TotalTime>2</TotalTime>
  <ScaleCrop>false</ScaleCrop>
  <LinksUpToDate>false</LinksUpToDate>
  <CharactersWithSpaces>5189</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2022-05-19T00:51:00Z</dcterms:created>
  <dc:creator>felx lee</dc:creator>
  <cp:lastModifiedBy>Yang</cp:lastModifiedBy>
  <dcterms:modified xsi:type="dcterms:W3CDTF">2022-07-26T06:05:05Z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8C9C2CBA1A3C4215A2BD2ED01CE5985D</vt:lpwstr>
  </property>
</Properties>
</file>